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244" w:rsidRPr="00457E25" w:rsidRDefault="00536244">
      <w:pPr>
        <w:pageBreakBefore/>
        <w:jc w:val="center"/>
        <w:rPr>
          <w:b w:val="0"/>
          <w:sz w:val="24"/>
        </w:rPr>
      </w:pPr>
      <w:r w:rsidRPr="00457E25">
        <w:rPr>
          <w:b w:val="0"/>
          <w:sz w:val="24"/>
        </w:rPr>
        <w:t>Сравнительная таблица</w:t>
      </w:r>
    </w:p>
    <w:p w:rsidR="00536244" w:rsidRPr="00457E25" w:rsidRDefault="00536244">
      <w:pPr>
        <w:jc w:val="center"/>
        <w:rPr>
          <w:b w:val="0"/>
          <w:sz w:val="24"/>
        </w:rPr>
      </w:pPr>
      <w:r>
        <w:rPr>
          <w:b w:val="0"/>
          <w:sz w:val="24"/>
        </w:rPr>
        <w:t>к проекту з</w:t>
      </w:r>
      <w:r w:rsidRPr="00457E25">
        <w:rPr>
          <w:b w:val="0"/>
          <w:sz w:val="24"/>
        </w:rPr>
        <w:t>акона Приднестровской Молдавской Республики</w:t>
      </w:r>
    </w:p>
    <w:p w:rsidR="00536244" w:rsidRPr="008730A8" w:rsidRDefault="00536244" w:rsidP="007123E4">
      <w:pPr>
        <w:jc w:val="center"/>
        <w:rPr>
          <w:b w:val="0"/>
          <w:color w:val="auto"/>
          <w:sz w:val="24"/>
          <w:szCs w:val="24"/>
        </w:rPr>
      </w:pPr>
      <w:r w:rsidRPr="008730A8">
        <w:rPr>
          <w:b w:val="0"/>
          <w:color w:val="auto"/>
          <w:sz w:val="24"/>
          <w:szCs w:val="24"/>
        </w:rPr>
        <w:t xml:space="preserve">«О внесении </w:t>
      </w:r>
      <w:r>
        <w:rPr>
          <w:b w:val="0"/>
          <w:sz w:val="24"/>
          <w:szCs w:val="24"/>
        </w:rPr>
        <w:t>изме</w:t>
      </w:r>
      <w:r w:rsidRPr="008730A8">
        <w:rPr>
          <w:b w:val="0"/>
          <w:sz w:val="24"/>
          <w:szCs w:val="24"/>
        </w:rPr>
        <w:t>нени</w:t>
      </w:r>
      <w:r>
        <w:rPr>
          <w:b w:val="0"/>
          <w:sz w:val="24"/>
          <w:szCs w:val="24"/>
        </w:rPr>
        <w:t xml:space="preserve">й </w:t>
      </w:r>
      <w:r w:rsidRPr="008730A8">
        <w:rPr>
          <w:b w:val="0"/>
          <w:color w:val="auto"/>
          <w:sz w:val="24"/>
          <w:szCs w:val="24"/>
        </w:rPr>
        <w:t xml:space="preserve">в Закон Приднестровской Молдавской Республики </w:t>
      </w:r>
    </w:p>
    <w:p w:rsidR="00536244" w:rsidRPr="005A1AF2" w:rsidRDefault="00536244" w:rsidP="007123E4">
      <w:pPr>
        <w:jc w:val="center"/>
        <w:rPr>
          <w:b w:val="0"/>
          <w:color w:val="auto"/>
          <w:sz w:val="24"/>
          <w:szCs w:val="24"/>
        </w:rPr>
      </w:pPr>
      <w:r w:rsidRPr="008730A8">
        <w:rPr>
          <w:b w:val="0"/>
          <w:color w:val="auto"/>
          <w:sz w:val="24"/>
          <w:szCs w:val="24"/>
        </w:rPr>
        <w:t>«</w:t>
      </w:r>
      <w:r>
        <w:rPr>
          <w:b w:val="0"/>
          <w:color w:val="auto"/>
          <w:sz w:val="24"/>
          <w:szCs w:val="24"/>
        </w:rPr>
        <w:t>О налоге на имущество физических лиц</w:t>
      </w:r>
      <w:r w:rsidRPr="008730A8">
        <w:rPr>
          <w:b w:val="0"/>
          <w:color w:val="auto"/>
          <w:sz w:val="24"/>
          <w:szCs w:val="24"/>
        </w:rPr>
        <w:t>»</w:t>
      </w:r>
    </w:p>
    <w:p w:rsidR="00536244" w:rsidRPr="00457E25" w:rsidRDefault="00536244">
      <w:pPr>
        <w:jc w:val="center"/>
        <w:rPr>
          <w:b w:val="0"/>
          <w:snapToGrid w:val="0"/>
          <w:sz w:val="24"/>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13"/>
        <w:gridCol w:w="7371"/>
      </w:tblGrid>
      <w:tr w:rsidR="00536244" w:rsidRPr="002B3FAD" w:rsidTr="00B333D0">
        <w:trPr>
          <w:trHeight w:val="356"/>
        </w:trPr>
        <w:tc>
          <w:tcPr>
            <w:tcW w:w="7513" w:type="dxa"/>
          </w:tcPr>
          <w:p w:rsidR="00536244" w:rsidRPr="002B3FAD" w:rsidRDefault="00536244" w:rsidP="002B3FAD">
            <w:pPr>
              <w:jc w:val="center"/>
              <w:rPr>
                <w:b w:val="0"/>
                <w:sz w:val="24"/>
              </w:rPr>
            </w:pPr>
            <w:r w:rsidRPr="002B3FAD">
              <w:rPr>
                <w:b w:val="0"/>
                <w:sz w:val="24"/>
              </w:rPr>
              <w:t>Действующая редакция</w:t>
            </w:r>
          </w:p>
        </w:tc>
        <w:tc>
          <w:tcPr>
            <w:tcW w:w="7371" w:type="dxa"/>
          </w:tcPr>
          <w:p w:rsidR="00536244" w:rsidRPr="002B3FAD" w:rsidRDefault="00536244" w:rsidP="002B3FAD">
            <w:pPr>
              <w:jc w:val="center"/>
              <w:rPr>
                <w:b w:val="0"/>
                <w:sz w:val="24"/>
              </w:rPr>
            </w:pPr>
            <w:r w:rsidRPr="002B3FAD">
              <w:rPr>
                <w:b w:val="0"/>
                <w:sz w:val="24"/>
              </w:rPr>
              <w:t>Предлагаемая редакция</w:t>
            </w:r>
          </w:p>
        </w:tc>
      </w:tr>
      <w:tr w:rsidR="00536244" w:rsidRPr="002B3FAD" w:rsidTr="00B333D0">
        <w:trPr>
          <w:trHeight w:val="274"/>
        </w:trPr>
        <w:tc>
          <w:tcPr>
            <w:tcW w:w="7513" w:type="dxa"/>
          </w:tcPr>
          <w:p w:rsidR="00536244" w:rsidRDefault="00536244" w:rsidP="003112CE">
            <w:pPr>
              <w:autoSpaceDE w:val="0"/>
              <w:autoSpaceDN w:val="0"/>
              <w:adjustRightInd w:val="0"/>
              <w:ind w:firstLine="360"/>
              <w:jc w:val="both"/>
              <w:rPr>
                <w:b w:val="0"/>
                <w:bCs w:val="0"/>
                <w:color w:val="auto"/>
                <w:sz w:val="24"/>
                <w:szCs w:val="24"/>
              </w:rPr>
            </w:pPr>
            <w:r>
              <w:rPr>
                <w:b w:val="0"/>
                <w:bCs w:val="0"/>
                <w:color w:val="auto"/>
                <w:sz w:val="24"/>
                <w:szCs w:val="24"/>
              </w:rPr>
              <w:t xml:space="preserve">Пункт 2 статьи 2 </w:t>
            </w:r>
            <w:r w:rsidRPr="00A7627C">
              <w:rPr>
                <w:b w:val="0"/>
                <w:bCs w:val="0"/>
                <w:color w:val="auto"/>
                <w:sz w:val="24"/>
                <w:szCs w:val="24"/>
              </w:rPr>
              <w:t>Закон</w:t>
            </w:r>
            <w:r>
              <w:rPr>
                <w:b w:val="0"/>
                <w:bCs w:val="0"/>
                <w:color w:val="auto"/>
                <w:sz w:val="24"/>
                <w:szCs w:val="24"/>
              </w:rPr>
              <w:t>а</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 xml:space="preserve">2. Налог на имущество физических лиц по объектам недвижимого имущества (за исключением объектов недвижимого имущества, используемых для торговли, производства товаров или оказания услуг а также по части объектов, расположенных в домовладениях или квартирах, переведенных из жилого фонда в нежилой) уплачивается ежегодно исходя из налогооблагаемой базы по следующим ставкам: </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а) по квартирам:</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1) 0,1 РУ МЗП за 1 квадратный метр суммарной общей площади всех объектов данной категории в каждой административно-территориальной единице - до 100 квадратных метров (включительно);</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2) 0,5 РУ МЗП за каждый последующий квадратный метр, превышающий площадь, установленную подпунктом 1) подпункта а) настоящего пункта.</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 xml:space="preserve">При этом квартира - это жилое помещение, состоящее из одной или нескольких комнат и вспомогательных помещений (кухни, санузла, кладовых, коридоров, лестниц), расположенное в жилом или нежилом здании; </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б) по домовладениям:</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1) 0,1 РУ МЗП за 1 квадратный метр суммарной общей площади всех объектов данной категории в каждой административно-территориальной единице - до 300 квадратных метров (включительно);</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2) 0,5 РУ МЗП за каждый последующий квадратный метр, превышающий площадь, установленную подпунктом 1) подпункта б) настоящего пункта.</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К домовладениям относится недвижимое имущество - основное жилое здание (или его часть) или несколько зданий и/или строений, расположенные в пределах земельного участка, находящегося в пользовании собственника (собственников) домовладения;</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в) по гаражам, не входящим в состав домовладения  – 0,07 РУ МЗП за 1 квадратный метр суммарной общей площади всех объектов данной категории в каждой административно-территориальной единице;</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г) по дачам (садово-огородным домикам), иным дачным, садово-огородным помещениям:</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1) 0,07 РУ МЗП за 1 квадратный метр суммарной общей площади всех объектов данной категории в каждой административно-территориальной единице - до 75 квадратных метров (включительно);</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2) 0,14 РУ МЗП за каждый последующий квадратный метр, превышающий площадь, установленную подпунктом 1) подпункта г) настоящего пункта.</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При этом дачи (садовоогородные домики) – это здания и иные строения, расположенные на земельных участках, предоставленных физическим лицам для огородничества и садоводства;</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д) по иным объектам недвижимости – 0,05 РУ МЗП за 1 квадратный метр. При этом, в течение 5 лет с даты выдачи разрешения на строительство, ставка по объектам незавершенного строительства устанавливается в размере 0 РУ МЗП.</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Налог на имущество физических лиц по объектам недвижимого имущества, используемого для торговли, производства товаров или оказания услуг, а также частей объекта, расположенных в домовладении или квартире, переведенных из жилого фонда в нежилой, устанавливается в размере 0,5 РУ МЗП за один квадратный метр общей площади.</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Налог по квартирам, домовладениям, дачам (садово-огородным домикам), иным дачным, садово-огородным помещениям, расположенным в сельских населенных пунктах, городах местного значения (за исключением объектов недвижимого имущества, используемых для торговли, производства товаров или оказания услуг, а также частей объектов, расположенных в домовладениях или квартирах, переведенных из жилого фонда в нежилой, а также недвижимого имущества, находящегося в собственности городских жителей), рассчитывается с применением понижающего коэффициента 0,7 за каждый последующий квадратный метр, превышающий площадь, установленную подпунктом 1) пункта а) части первой настоящего пункта, подпунктом 1) пункта б) части первой настоящего пункта, подпунктом 1) пункта г) части первой настоящего пункта.</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Налог на гаражи, не входящие в состав домовладений, иные объекты недвижимости (за исключением объектов недвижимого имущества, используемых для торговли, производства товаров или оказания услуг, а также частей объектов, расположенных в домовладениях или квартирах, переведенных из жилого фонда в нежилой, а также недвижимого имущества, находящегося в собственности городских жителей), расположенные в сельских населенных пунктах, городах местного значения рассчитывается с применением понижающего коэффициента 0,7.</w:t>
            </w:r>
          </w:p>
        </w:tc>
        <w:tc>
          <w:tcPr>
            <w:tcW w:w="7371" w:type="dxa"/>
          </w:tcPr>
          <w:p w:rsidR="00536244" w:rsidRDefault="00536244" w:rsidP="00B706F6">
            <w:pPr>
              <w:autoSpaceDE w:val="0"/>
              <w:autoSpaceDN w:val="0"/>
              <w:adjustRightInd w:val="0"/>
              <w:ind w:firstLine="360"/>
              <w:jc w:val="both"/>
              <w:rPr>
                <w:b w:val="0"/>
                <w:bCs w:val="0"/>
                <w:color w:val="auto"/>
                <w:sz w:val="24"/>
                <w:szCs w:val="24"/>
              </w:rPr>
            </w:pPr>
            <w:r>
              <w:rPr>
                <w:b w:val="0"/>
                <w:bCs w:val="0"/>
                <w:color w:val="auto"/>
                <w:sz w:val="24"/>
                <w:szCs w:val="24"/>
              </w:rPr>
              <w:t xml:space="preserve">Пункт 2 статьи 2 </w:t>
            </w:r>
            <w:r w:rsidRPr="00A7627C">
              <w:rPr>
                <w:b w:val="0"/>
                <w:bCs w:val="0"/>
                <w:color w:val="auto"/>
                <w:sz w:val="24"/>
                <w:szCs w:val="24"/>
              </w:rPr>
              <w:t>Закон</w:t>
            </w:r>
            <w:r>
              <w:rPr>
                <w:b w:val="0"/>
                <w:bCs w:val="0"/>
                <w:color w:val="auto"/>
                <w:sz w:val="24"/>
                <w:szCs w:val="24"/>
              </w:rPr>
              <w:t>а</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 xml:space="preserve">2. Налог на имущество физических лиц по объектам недвижимого имущества (за исключением объектов недвижимого имущества, </w:t>
            </w:r>
            <w:r w:rsidRPr="00B333D0">
              <w:rPr>
                <w:bCs w:val="0"/>
                <w:color w:val="auto"/>
                <w:sz w:val="24"/>
                <w:szCs w:val="24"/>
              </w:rPr>
              <w:t>которые могут использоваться</w:t>
            </w:r>
            <w:r w:rsidRPr="00B706F6">
              <w:rPr>
                <w:b w:val="0"/>
                <w:bCs w:val="0"/>
                <w:color w:val="auto"/>
                <w:sz w:val="24"/>
                <w:szCs w:val="24"/>
              </w:rPr>
              <w:t xml:space="preserve"> для торговли, производства товаров или оказания услуг а также по части объектов, расположенных в домовладениях или квартирах, переведенных из жилого фонда в нежилой) уплачивается ежегодно исходя из налогооблагаемой базы по следующим ставкам: </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а) по квартирам:</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1) 0,1 РУ МЗП за 1 квадратный метр суммарной общей площади всех объектов данной категории в каждой административно-территориальной единице - до 100 квадратных метров (включительно);</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2) 0,5 РУ МЗП за каждый последующий квадратный метр, превышающий площадь, установленную подпунктом 1) подпункта а) настоящего пункта.</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 xml:space="preserve">При этом квартира - это жилое помещение, состоящее из одной или нескольких комнат и вспомогательных помещений (кухни, санузла, кладовых, коридоров, лестниц), расположенное в жилом или нежилом здании; </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б) по домовладениям:</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1) 0,1 РУ МЗП за 1 квадратный метр суммарной общей площади всех объектов данной категории в каждой административно-территориальной единице - до 300 квадратных метров (включительно);</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2) 0,5 РУ МЗП за каждый последующий квадратный метр, превышающий площадь, установленную подпунктом 1) подпункта б) настоящего пункта.</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К домовладениям относится недвижимое имущество - основное жилое здание (или его часть) или несколько зданий и/или строений, расположенные в пределах земельного участка, находящегося в пользовании собственника (собственников) домовладения;</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в) по гаражам, не входящим в состав домовладения  – 0,07 РУ МЗП за 1 квадратный метр суммарной общей площади всех объектов данной категории в каждой административно-территориальной единице;</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г) по дачам (садово-огородным домикам), иным дачным, садово-огородным помещениям:</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1) 0,07 РУ МЗП за 1 квадратный метр суммарной общей площади всех объектов данной категории в каждой административно-территориальной единице - до 75 квадратных метров (включительно);</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2) 0,14 РУ МЗП за каждый последующий квадратный метр, превышающий площадь, установленную подпунктом 1) подпункта г) настоящего пункта.</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При этом дачи (садовоогородные домики) – это здания и иные строения, расположенные на земельных участках, предоставленных физическим лицам для огородничества и садоводства;</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д) по иным объектам недвижимости – 0,05 РУ МЗП за 1 квадратный метр. При этом, в течение 5 лет с даты выдачи разрешения на строительство, ставка по объектам незавершенного строительства устанавливается в размере 0 РУ МЗП.</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 xml:space="preserve">Налог на имущество физических лиц по объектам недвижимого имущества, </w:t>
            </w:r>
            <w:r w:rsidRPr="00B333D0">
              <w:rPr>
                <w:bCs w:val="0"/>
                <w:color w:val="auto"/>
                <w:sz w:val="24"/>
                <w:szCs w:val="24"/>
              </w:rPr>
              <w:t>которые могут использоваться</w:t>
            </w:r>
            <w:r w:rsidRPr="00B706F6">
              <w:rPr>
                <w:b w:val="0"/>
                <w:bCs w:val="0"/>
                <w:color w:val="auto"/>
                <w:sz w:val="24"/>
                <w:szCs w:val="24"/>
              </w:rPr>
              <w:t xml:space="preserve"> для торговли, производства товаров или оказания услуг, а также частей объекта, расположенных в домовладении или квартире, переведенных из жилого фонда в нежилой, устанавливается в размере 0,5 РУ МЗП за один квадратный метр общей площади.</w:t>
            </w:r>
          </w:p>
          <w:p w:rsidR="00536244" w:rsidRPr="00B706F6" w:rsidRDefault="00536244" w:rsidP="00B706F6">
            <w:pPr>
              <w:autoSpaceDE w:val="0"/>
              <w:autoSpaceDN w:val="0"/>
              <w:adjustRightInd w:val="0"/>
              <w:ind w:firstLine="360"/>
              <w:jc w:val="both"/>
              <w:rPr>
                <w:b w:val="0"/>
                <w:bCs w:val="0"/>
                <w:color w:val="auto"/>
                <w:sz w:val="24"/>
                <w:szCs w:val="24"/>
              </w:rPr>
            </w:pPr>
            <w:r w:rsidRPr="00B706F6">
              <w:rPr>
                <w:b w:val="0"/>
                <w:bCs w:val="0"/>
                <w:color w:val="auto"/>
                <w:sz w:val="24"/>
                <w:szCs w:val="24"/>
              </w:rPr>
              <w:t xml:space="preserve">Налог по квартирам, домовладениям, дачам (садово-огородным домикам), иным дачным, садово-огородным помещениям, расположенным в сельских населенных пунктах, городах местного значения (за исключением объектов недвижимого имущества, </w:t>
            </w:r>
            <w:r w:rsidRPr="00B333D0">
              <w:rPr>
                <w:bCs w:val="0"/>
                <w:color w:val="auto"/>
                <w:sz w:val="24"/>
                <w:szCs w:val="24"/>
              </w:rPr>
              <w:t>которые могут использоваться</w:t>
            </w:r>
            <w:r w:rsidRPr="00B706F6">
              <w:rPr>
                <w:b w:val="0"/>
                <w:bCs w:val="0"/>
                <w:color w:val="auto"/>
                <w:sz w:val="24"/>
                <w:szCs w:val="24"/>
              </w:rPr>
              <w:t xml:space="preserve"> для торговли, производства товаров или оказания услуг, а также частей объектов, расположенных в домовладениях или квартирах, переведенных из жилого фонда в нежилой, а также недвижимого имущества, находящегося в собственности городских жителей), рассчитывается с применением понижающего коэффициента 0,7 за каждый последующий квадратный метр, превышающий площадь, установленную подпунктом 1) пункта а) части первой настоящего пункта, подпунктом 1) пункта б) части первой настоящего пункта, подпунктом 1) пункта г) части первой настоящего пункта.</w:t>
            </w:r>
          </w:p>
          <w:p w:rsidR="00536244" w:rsidRPr="003112CE" w:rsidRDefault="00536244" w:rsidP="00B706F6">
            <w:pPr>
              <w:autoSpaceDE w:val="0"/>
              <w:autoSpaceDN w:val="0"/>
              <w:adjustRightInd w:val="0"/>
              <w:ind w:firstLine="360"/>
              <w:jc w:val="both"/>
              <w:rPr>
                <w:color w:val="auto"/>
                <w:sz w:val="24"/>
                <w:szCs w:val="24"/>
              </w:rPr>
            </w:pPr>
            <w:r w:rsidRPr="00B706F6">
              <w:rPr>
                <w:b w:val="0"/>
                <w:bCs w:val="0"/>
                <w:color w:val="auto"/>
                <w:sz w:val="24"/>
                <w:szCs w:val="24"/>
              </w:rPr>
              <w:t xml:space="preserve">Налог на гаражи, не входящие в состав домовладений, иные объекты недвижимости (за исключением объектов недвижимого имущества, </w:t>
            </w:r>
            <w:r w:rsidRPr="00B333D0">
              <w:rPr>
                <w:bCs w:val="0"/>
                <w:color w:val="auto"/>
                <w:sz w:val="24"/>
                <w:szCs w:val="24"/>
              </w:rPr>
              <w:t>которые могут использоваться</w:t>
            </w:r>
            <w:r w:rsidRPr="00B706F6">
              <w:rPr>
                <w:b w:val="0"/>
                <w:bCs w:val="0"/>
                <w:color w:val="auto"/>
                <w:sz w:val="24"/>
                <w:szCs w:val="24"/>
              </w:rPr>
              <w:t xml:space="preserve"> для торговли, производства товаров или оказания услуг, а также частей объектов, расположенных в домовладениях или квартирах, переведенных из жилого фонда в нежилой, а также недвижимого имущества, находящегося в собственности городских жителей), расположенные в сельских населенных пунктах, городах местного значения рассчитывается с применением понижающего коэффициента 0,7.</w:t>
            </w:r>
          </w:p>
        </w:tc>
      </w:tr>
      <w:tr w:rsidR="00536244" w:rsidRPr="002B3FAD" w:rsidTr="00B333D0">
        <w:trPr>
          <w:trHeight w:val="274"/>
        </w:trPr>
        <w:tc>
          <w:tcPr>
            <w:tcW w:w="7513" w:type="dxa"/>
          </w:tcPr>
          <w:p w:rsidR="00536244" w:rsidRDefault="00536244" w:rsidP="00432A4D">
            <w:pPr>
              <w:autoSpaceDE w:val="0"/>
              <w:autoSpaceDN w:val="0"/>
              <w:adjustRightInd w:val="0"/>
              <w:ind w:firstLine="709"/>
              <w:jc w:val="both"/>
              <w:rPr>
                <w:b w:val="0"/>
                <w:bCs w:val="0"/>
                <w:color w:val="auto"/>
                <w:sz w:val="24"/>
                <w:szCs w:val="24"/>
              </w:rPr>
            </w:pPr>
            <w:r>
              <w:rPr>
                <w:b w:val="0"/>
                <w:bCs w:val="0"/>
                <w:color w:val="auto"/>
                <w:sz w:val="24"/>
                <w:szCs w:val="24"/>
              </w:rPr>
              <w:t xml:space="preserve">Часть вторая пункта 6 статьи 3 Закона </w:t>
            </w:r>
          </w:p>
          <w:p w:rsidR="00536244" w:rsidRDefault="00536244" w:rsidP="003112CE">
            <w:pPr>
              <w:autoSpaceDE w:val="0"/>
              <w:autoSpaceDN w:val="0"/>
              <w:adjustRightInd w:val="0"/>
              <w:ind w:firstLine="360"/>
              <w:jc w:val="both"/>
              <w:rPr>
                <w:b w:val="0"/>
                <w:bCs w:val="0"/>
                <w:color w:val="auto"/>
                <w:sz w:val="24"/>
                <w:szCs w:val="24"/>
              </w:rPr>
            </w:pPr>
          </w:p>
          <w:p w:rsidR="00536244" w:rsidRPr="00432A4D" w:rsidRDefault="00536244" w:rsidP="003112CE">
            <w:pPr>
              <w:autoSpaceDE w:val="0"/>
              <w:autoSpaceDN w:val="0"/>
              <w:adjustRightInd w:val="0"/>
              <w:ind w:firstLine="360"/>
              <w:jc w:val="both"/>
              <w:rPr>
                <w:b w:val="0"/>
                <w:bCs w:val="0"/>
                <w:color w:val="auto"/>
                <w:sz w:val="24"/>
                <w:szCs w:val="24"/>
              </w:rPr>
            </w:pPr>
            <w:r w:rsidRPr="00432A4D">
              <w:rPr>
                <w:b w:val="0"/>
                <w:bCs w:val="0"/>
                <w:color w:val="auto"/>
                <w:sz w:val="24"/>
                <w:szCs w:val="24"/>
              </w:rPr>
              <w:t>При использовании объектов недвижимого имущества для осуществления торговли, производства товаров или оказания услуг, а также частей объектов, расположенных в домовладениях или квартирах, переведенных из жилого фонда в нежилой, гражданами, имеющими в соответствии с пунктом 1 статьи 3 настоящего Закона право на освобождение от уплаты налога, льготы по имуществу не предоставляются.</w:t>
            </w:r>
          </w:p>
        </w:tc>
        <w:tc>
          <w:tcPr>
            <w:tcW w:w="7371" w:type="dxa"/>
          </w:tcPr>
          <w:p w:rsidR="00536244" w:rsidRDefault="00536244" w:rsidP="00432A4D">
            <w:pPr>
              <w:autoSpaceDE w:val="0"/>
              <w:autoSpaceDN w:val="0"/>
              <w:adjustRightInd w:val="0"/>
              <w:ind w:firstLine="709"/>
              <w:jc w:val="both"/>
              <w:rPr>
                <w:b w:val="0"/>
                <w:bCs w:val="0"/>
                <w:color w:val="auto"/>
                <w:sz w:val="24"/>
                <w:szCs w:val="24"/>
              </w:rPr>
            </w:pPr>
            <w:r>
              <w:rPr>
                <w:b w:val="0"/>
                <w:bCs w:val="0"/>
                <w:color w:val="auto"/>
                <w:sz w:val="24"/>
                <w:szCs w:val="24"/>
              </w:rPr>
              <w:t xml:space="preserve">Часть вторая пункта 6 статьи 3 Закона </w:t>
            </w:r>
          </w:p>
          <w:p w:rsidR="00536244" w:rsidRPr="00432A4D" w:rsidRDefault="00536244" w:rsidP="00432A4D">
            <w:pPr>
              <w:autoSpaceDE w:val="0"/>
              <w:autoSpaceDN w:val="0"/>
              <w:adjustRightInd w:val="0"/>
              <w:ind w:firstLine="709"/>
              <w:jc w:val="both"/>
              <w:rPr>
                <w:bCs w:val="0"/>
                <w:color w:val="auto"/>
                <w:sz w:val="24"/>
                <w:szCs w:val="24"/>
              </w:rPr>
            </w:pPr>
            <w:r w:rsidRPr="00432A4D">
              <w:rPr>
                <w:bCs w:val="0"/>
                <w:color w:val="auto"/>
                <w:sz w:val="24"/>
                <w:szCs w:val="24"/>
              </w:rPr>
              <w:t xml:space="preserve">По объектам недвижимого имущества, </w:t>
            </w:r>
            <w:r w:rsidRPr="00B333D0">
              <w:rPr>
                <w:bCs w:val="0"/>
                <w:color w:val="auto"/>
                <w:sz w:val="24"/>
                <w:szCs w:val="24"/>
              </w:rPr>
              <w:t>которые могут использоваться</w:t>
            </w:r>
            <w:r w:rsidRPr="00B706F6">
              <w:rPr>
                <w:b w:val="0"/>
                <w:bCs w:val="0"/>
                <w:color w:val="auto"/>
                <w:sz w:val="24"/>
                <w:szCs w:val="24"/>
              </w:rPr>
              <w:t xml:space="preserve"> </w:t>
            </w:r>
            <w:r w:rsidRPr="00432A4D">
              <w:rPr>
                <w:bCs w:val="0"/>
                <w:color w:val="auto"/>
                <w:sz w:val="24"/>
                <w:szCs w:val="24"/>
              </w:rPr>
              <w:t>для торговли, производства товаров или оказания услуг, а также частям объектов, расположенным в домовладениях или квартирах, переведенных из жилого фонда в нежилой, гражданам, имеющим в соответствии с пунктом 1 статьи 3 настоящего Закона право на освобождение от уплаты налога, льготы по имуществу не предоставляются.</w:t>
            </w:r>
          </w:p>
          <w:p w:rsidR="00536244" w:rsidRPr="003112CE" w:rsidRDefault="00536244" w:rsidP="003112CE">
            <w:pPr>
              <w:autoSpaceDE w:val="0"/>
              <w:autoSpaceDN w:val="0"/>
              <w:adjustRightInd w:val="0"/>
              <w:ind w:firstLine="360"/>
              <w:jc w:val="both"/>
              <w:rPr>
                <w:color w:val="auto"/>
                <w:sz w:val="24"/>
                <w:szCs w:val="24"/>
              </w:rPr>
            </w:pPr>
          </w:p>
        </w:tc>
      </w:tr>
    </w:tbl>
    <w:p w:rsidR="00536244" w:rsidRDefault="00536244" w:rsidP="000039E6">
      <w:pPr>
        <w:sectPr w:rsidR="00536244" w:rsidSect="00B333D0">
          <w:headerReference w:type="even" r:id="rId7"/>
          <w:pgSz w:w="16838" w:h="11906" w:orient="landscape" w:code="9"/>
          <w:pgMar w:top="1701" w:right="1135" w:bottom="567" w:left="1021" w:header="720" w:footer="720" w:gutter="0"/>
          <w:cols w:space="720"/>
          <w:titlePg/>
          <w:docGrid w:linePitch="272"/>
        </w:sectPr>
      </w:pPr>
    </w:p>
    <w:p w:rsidR="00536244" w:rsidRPr="00F17521" w:rsidRDefault="00536244" w:rsidP="000039E6">
      <w:pPr>
        <w:pageBreakBefore/>
        <w:jc w:val="both"/>
        <w:rPr>
          <w:b w:val="0"/>
          <w:color w:val="FF0000"/>
          <w:sz w:val="22"/>
          <w:szCs w:val="22"/>
        </w:rPr>
      </w:pPr>
    </w:p>
    <w:sectPr w:rsidR="00536244" w:rsidRPr="00F17521" w:rsidSect="00B05F5B">
      <w:pgSz w:w="11906" w:h="16838" w:code="9"/>
      <w:pgMar w:top="1135" w:right="567" w:bottom="1021"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244" w:rsidRDefault="00536244">
      <w:r>
        <w:separator/>
      </w:r>
    </w:p>
  </w:endnote>
  <w:endnote w:type="continuationSeparator" w:id="0">
    <w:p w:rsidR="00536244" w:rsidRDefault="005362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PMingLiU">
    <w:altName w:val="ЎPs??c???"/>
    <w:panose1 w:val="02010601000101010101"/>
    <w:charset w:val="88"/>
    <w:family w:val="auto"/>
    <w:notTrueType/>
    <w:pitch w:val="variable"/>
    <w:sig w:usb0="00000001" w:usb1="08080000" w:usb2="00000010" w:usb3="00000000" w:csb0="00100000"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244" w:rsidRDefault="00536244">
      <w:r>
        <w:separator/>
      </w:r>
    </w:p>
  </w:footnote>
  <w:footnote w:type="continuationSeparator" w:id="0">
    <w:p w:rsidR="00536244" w:rsidRDefault="005362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244" w:rsidRDefault="0053624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36244" w:rsidRDefault="005362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211"/>
    <w:multiLevelType w:val="hybridMultilevel"/>
    <w:tmpl w:val="2AC06516"/>
    <w:lvl w:ilvl="0" w:tplc="F1C84DA6">
      <w:start w:val="1"/>
      <w:numFmt w:val="decimal"/>
      <w:lvlText w:val="%1)"/>
      <w:lvlJc w:val="left"/>
      <w:pPr>
        <w:tabs>
          <w:tab w:val="num" w:pos="1482"/>
        </w:tabs>
        <w:ind w:left="1482" w:hanging="915"/>
      </w:pPr>
      <w:rPr>
        <w:rFonts w:cs="Times New Roman" w:hint="default"/>
        <w:b w:val="0"/>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
    <w:nsid w:val="152156EA"/>
    <w:multiLevelType w:val="hybridMultilevel"/>
    <w:tmpl w:val="339EA99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8193736"/>
    <w:multiLevelType w:val="hybridMultilevel"/>
    <w:tmpl w:val="6F78D40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
    <w:nsid w:val="18EC4E4C"/>
    <w:multiLevelType w:val="hybridMultilevel"/>
    <w:tmpl w:val="04989E0E"/>
    <w:lvl w:ilvl="0" w:tplc="CEB20278">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4">
    <w:nsid w:val="255E327F"/>
    <w:multiLevelType w:val="hybridMultilevel"/>
    <w:tmpl w:val="EECEE02A"/>
    <w:lvl w:ilvl="0" w:tplc="EDCC30B8">
      <w:start w:val="2"/>
      <w:numFmt w:val="decimal"/>
      <w:lvlText w:val="%1."/>
      <w:lvlJc w:val="left"/>
      <w:pPr>
        <w:tabs>
          <w:tab w:val="num" w:pos="924"/>
        </w:tabs>
        <w:ind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2CE80368"/>
    <w:multiLevelType w:val="multilevel"/>
    <w:tmpl w:val="FB48C426"/>
    <w:lvl w:ilvl="0">
      <w:start w:val="1"/>
      <w:numFmt w:val="decimal"/>
      <w:lvlText w:val="%1."/>
      <w:lvlJc w:val="left"/>
      <w:pPr>
        <w:tabs>
          <w:tab w:val="num" w:pos="1287"/>
        </w:tabs>
        <w:ind w:left="1287" w:hanging="360"/>
      </w:pPr>
      <w:rPr>
        <w:rFonts w:cs="Times New Roman"/>
      </w:rPr>
    </w:lvl>
    <w:lvl w:ilvl="1">
      <w:start w:val="1"/>
      <w:numFmt w:val="lowerLetter"/>
      <w:lvlText w:val="%2."/>
      <w:lvlJc w:val="left"/>
      <w:pPr>
        <w:tabs>
          <w:tab w:val="num" w:pos="2007"/>
        </w:tabs>
        <w:ind w:left="2007" w:hanging="360"/>
      </w:pPr>
      <w:rPr>
        <w:rFonts w:cs="Times New Roman"/>
      </w:rPr>
    </w:lvl>
    <w:lvl w:ilvl="2">
      <w:start w:val="1"/>
      <w:numFmt w:val="lowerRoman"/>
      <w:lvlText w:val="%3."/>
      <w:lvlJc w:val="right"/>
      <w:pPr>
        <w:tabs>
          <w:tab w:val="num" w:pos="2727"/>
        </w:tabs>
        <w:ind w:left="2727" w:hanging="180"/>
      </w:pPr>
      <w:rPr>
        <w:rFonts w:cs="Times New Roman"/>
      </w:rPr>
    </w:lvl>
    <w:lvl w:ilvl="3">
      <w:start w:val="1"/>
      <w:numFmt w:val="decimal"/>
      <w:lvlText w:val="%4."/>
      <w:lvlJc w:val="left"/>
      <w:pPr>
        <w:tabs>
          <w:tab w:val="num" w:pos="3447"/>
        </w:tabs>
        <w:ind w:left="3447" w:hanging="360"/>
      </w:pPr>
      <w:rPr>
        <w:rFonts w:cs="Times New Roman"/>
      </w:rPr>
    </w:lvl>
    <w:lvl w:ilvl="4">
      <w:start w:val="1"/>
      <w:numFmt w:val="lowerLetter"/>
      <w:lvlText w:val="%5."/>
      <w:lvlJc w:val="left"/>
      <w:pPr>
        <w:tabs>
          <w:tab w:val="num" w:pos="4167"/>
        </w:tabs>
        <w:ind w:left="4167" w:hanging="360"/>
      </w:pPr>
      <w:rPr>
        <w:rFonts w:cs="Times New Roman"/>
      </w:rPr>
    </w:lvl>
    <w:lvl w:ilvl="5">
      <w:start w:val="1"/>
      <w:numFmt w:val="lowerRoman"/>
      <w:lvlText w:val="%6."/>
      <w:lvlJc w:val="right"/>
      <w:pPr>
        <w:tabs>
          <w:tab w:val="num" w:pos="4887"/>
        </w:tabs>
        <w:ind w:left="4887" w:hanging="180"/>
      </w:pPr>
      <w:rPr>
        <w:rFonts w:cs="Times New Roman"/>
      </w:rPr>
    </w:lvl>
    <w:lvl w:ilvl="6">
      <w:start w:val="1"/>
      <w:numFmt w:val="decimal"/>
      <w:lvlText w:val="%7."/>
      <w:lvlJc w:val="left"/>
      <w:pPr>
        <w:tabs>
          <w:tab w:val="num" w:pos="5607"/>
        </w:tabs>
        <w:ind w:left="5607" w:hanging="360"/>
      </w:pPr>
      <w:rPr>
        <w:rFonts w:cs="Times New Roman"/>
      </w:rPr>
    </w:lvl>
    <w:lvl w:ilvl="7">
      <w:start w:val="1"/>
      <w:numFmt w:val="lowerLetter"/>
      <w:lvlText w:val="%8."/>
      <w:lvlJc w:val="left"/>
      <w:pPr>
        <w:tabs>
          <w:tab w:val="num" w:pos="6327"/>
        </w:tabs>
        <w:ind w:left="6327" w:hanging="360"/>
      </w:pPr>
      <w:rPr>
        <w:rFonts w:cs="Times New Roman"/>
      </w:rPr>
    </w:lvl>
    <w:lvl w:ilvl="8">
      <w:start w:val="1"/>
      <w:numFmt w:val="lowerRoman"/>
      <w:lvlText w:val="%9."/>
      <w:lvlJc w:val="right"/>
      <w:pPr>
        <w:tabs>
          <w:tab w:val="num" w:pos="7047"/>
        </w:tabs>
        <w:ind w:left="7047" w:hanging="180"/>
      </w:pPr>
      <w:rPr>
        <w:rFonts w:cs="Times New Roman"/>
      </w:rPr>
    </w:lvl>
  </w:abstractNum>
  <w:abstractNum w:abstractNumId="6">
    <w:nsid w:val="2D750ED4"/>
    <w:multiLevelType w:val="hybridMultilevel"/>
    <w:tmpl w:val="64B4ECAC"/>
    <w:lvl w:ilvl="0" w:tplc="EDCC30B8">
      <w:start w:val="2"/>
      <w:numFmt w:val="decimal"/>
      <w:lvlText w:val="%1."/>
      <w:lvlJc w:val="left"/>
      <w:pPr>
        <w:tabs>
          <w:tab w:val="num" w:pos="924"/>
        </w:tabs>
        <w:ind w:firstLine="567"/>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33643A55"/>
    <w:multiLevelType w:val="hybridMultilevel"/>
    <w:tmpl w:val="C29EB1FA"/>
    <w:lvl w:ilvl="0" w:tplc="8F6A623E">
      <w:start w:val="1"/>
      <w:numFmt w:val="decimal"/>
      <w:lvlText w:val="%1."/>
      <w:lvlJc w:val="left"/>
      <w:pPr>
        <w:tabs>
          <w:tab w:val="num" w:pos="924"/>
        </w:tabs>
        <w:ind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23361B6"/>
    <w:multiLevelType w:val="multilevel"/>
    <w:tmpl w:val="3828E3A2"/>
    <w:lvl w:ilvl="0">
      <w:start w:val="2"/>
      <w:numFmt w:val="decimal"/>
      <w:lvlText w:val="%1."/>
      <w:lvlJc w:val="left"/>
      <w:pPr>
        <w:tabs>
          <w:tab w:val="num" w:pos="924"/>
        </w:tabs>
        <w:ind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56BF282B"/>
    <w:multiLevelType w:val="multilevel"/>
    <w:tmpl w:val="64B4ECAC"/>
    <w:lvl w:ilvl="0">
      <w:start w:val="2"/>
      <w:numFmt w:val="decimal"/>
      <w:lvlText w:val="%1."/>
      <w:lvlJc w:val="left"/>
      <w:pPr>
        <w:tabs>
          <w:tab w:val="num" w:pos="924"/>
        </w:tabs>
        <w:ind w:firstLine="567"/>
      </w:pPr>
      <w:rPr>
        <w:rFonts w:cs="Times New Roman" w:hint="default"/>
      </w:rPr>
    </w:lvl>
    <w:lvl w:ilvl="1">
      <w:start w:val="1"/>
      <w:numFmt w:val="lowerLetter"/>
      <w:lvlText w:val="%2."/>
      <w:lvlJc w:val="left"/>
      <w:pPr>
        <w:tabs>
          <w:tab w:val="num" w:pos="2007"/>
        </w:tabs>
        <w:ind w:left="2007" w:hanging="360"/>
      </w:pPr>
      <w:rPr>
        <w:rFonts w:cs="Times New Roman"/>
      </w:rPr>
    </w:lvl>
    <w:lvl w:ilvl="2">
      <w:start w:val="1"/>
      <w:numFmt w:val="lowerRoman"/>
      <w:lvlText w:val="%3."/>
      <w:lvlJc w:val="right"/>
      <w:pPr>
        <w:tabs>
          <w:tab w:val="num" w:pos="2727"/>
        </w:tabs>
        <w:ind w:left="2727" w:hanging="180"/>
      </w:pPr>
      <w:rPr>
        <w:rFonts w:cs="Times New Roman"/>
      </w:rPr>
    </w:lvl>
    <w:lvl w:ilvl="3">
      <w:start w:val="1"/>
      <w:numFmt w:val="decimal"/>
      <w:lvlText w:val="%4."/>
      <w:lvlJc w:val="left"/>
      <w:pPr>
        <w:tabs>
          <w:tab w:val="num" w:pos="3447"/>
        </w:tabs>
        <w:ind w:left="3447" w:hanging="360"/>
      </w:pPr>
      <w:rPr>
        <w:rFonts w:cs="Times New Roman"/>
      </w:rPr>
    </w:lvl>
    <w:lvl w:ilvl="4">
      <w:start w:val="1"/>
      <w:numFmt w:val="lowerLetter"/>
      <w:lvlText w:val="%5."/>
      <w:lvlJc w:val="left"/>
      <w:pPr>
        <w:tabs>
          <w:tab w:val="num" w:pos="4167"/>
        </w:tabs>
        <w:ind w:left="4167" w:hanging="360"/>
      </w:pPr>
      <w:rPr>
        <w:rFonts w:cs="Times New Roman"/>
      </w:rPr>
    </w:lvl>
    <w:lvl w:ilvl="5">
      <w:start w:val="1"/>
      <w:numFmt w:val="lowerRoman"/>
      <w:lvlText w:val="%6."/>
      <w:lvlJc w:val="right"/>
      <w:pPr>
        <w:tabs>
          <w:tab w:val="num" w:pos="4887"/>
        </w:tabs>
        <w:ind w:left="4887" w:hanging="180"/>
      </w:pPr>
      <w:rPr>
        <w:rFonts w:cs="Times New Roman"/>
      </w:rPr>
    </w:lvl>
    <w:lvl w:ilvl="6">
      <w:start w:val="1"/>
      <w:numFmt w:val="decimal"/>
      <w:lvlText w:val="%7."/>
      <w:lvlJc w:val="left"/>
      <w:pPr>
        <w:tabs>
          <w:tab w:val="num" w:pos="5607"/>
        </w:tabs>
        <w:ind w:left="5607" w:hanging="360"/>
      </w:pPr>
      <w:rPr>
        <w:rFonts w:cs="Times New Roman"/>
      </w:rPr>
    </w:lvl>
    <w:lvl w:ilvl="7">
      <w:start w:val="1"/>
      <w:numFmt w:val="lowerLetter"/>
      <w:lvlText w:val="%8."/>
      <w:lvlJc w:val="left"/>
      <w:pPr>
        <w:tabs>
          <w:tab w:val="num" w:pos="6327"/>
        </w:tabs>
        <w:ind w:left="6327" w:hanging="360"/>
      </w:pPr>
      <w:rPr>
        <w:rFonts w:cs="Times New Roman"/>
      </w:rPr>
    </w:lvl>
    <w:lvl w:ilvl="8">
      <w:start w:val="1"/>
      <w:numFmt w:val="lowerRoman"/>
      <w:lvlText w:val="%9."/>
      <w:lvlJc w:val="right"/>
      <w:pPr>
        <w:tabs>
          <w:tab w:val="num" w:pos="7047"/>
        </w:tabs>
        <w:ind w:left="7047" w:hanging="180"/>
      </w:pPr>
      <w:rPr>
        <w:rFonts w:cs="Times New Roman"/>
      </w:rPr>
    </w:lvl>
  </w:abstractNum>
  <w:abstractNum w:abstractNumId="10">
    <w:nsid w:val="5E0B1538"/>
    <w:multiLevelType w:val="hybridMultilevel"/>
    <w:tmpl w:val="A84A9E1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78BA54EC"/>
    <w:multiLevelType w:val="hybridMultilevel"/>
    <w:tmpl w:val="5F44118A"/>
    <w:lvl w:ilvl="0" w:tplc="AE7084D4">
      <w:start w:val="1"/>
      <w:numFmt w:val="decimal"/>
      <w:lvlText w:val="%1."/>
      <w:lvlJc w:val="left"/>
      <w:pPr>
        <w:tabs>
          <w:tab w:val="num" w:pos="1725"/>
        </w:tabs>
        <w:ind w:left="1725" w:hanging="100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10"/>
  </w:num>
  <w:num w:numId="2">
    <w:abstractNumId w:val="1"/>
  </w:num>
  <w:num w:numId="3">
    <w:abstractNumId w:val="3"/>
  </w:num>
  <w:num w:numId="4">
    <w:abstractNumId w:val="0"/>
  </w:num>
  <w:num w:numId="5">
    <w:abstractNumId w:val="11"/>
  </w:num>
  <w:num w:numId="6">
    <w:abstractNumId w:val="6"/>
  </w:num>
  <w:num w:numId="7">
    <w:abstractNumId w:val="5"/>
  </w:num>
  <w:num w:numId="8">
    <w:abstractNumId w:val="9"/>
  </w:num>
  <w:num w:numId="9">
    <w:abstractNumId w:val="4"/>
  </w:num>
  <w:num w:numId="10">
    <w:abstractNumId w:val="7"/>
  </w:num>
  <w:num w:numId="11">
    <w:abstractNumId w:val="8"/>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embedSystemFonts/>
  <w:stylePaneFormatFilter w:val="3F01"/>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5113"/>
    <w:rsid w:val="0000237A"/>
    <w:rsid w:val="000029F7"/>
    <w:rsid w:val="000039E6"/>
    <w:rsid w:val="00004E83"/>
    <w:rsid w:val="00020723"/>
    <w:rsid w:val="0002203A"/>
    <w:rsid w:val="000240A0"/>
    <w:rsid w:val="000256D8"/>
    <w:rsid w:val="000318CE"/>
    <w:rsid w:val="00032B85"/>
    <w:rsid w:val="0004198E"/>
    <w:rsid w:val="000420AE"/>
    <w:rsid w:val="000441C6"/>
    <w:rsid w:val="00046795"/>
    <w:rsid w:val="0004732D"/>
    <w:rsid w:val="00050AE5"/>
    <w:rsid w:val="0005130F"/>
    <w:rsid w:val="00053A2F"/>
    <w:rsid w:val="00067FB2"/>
    <w:rsid w:val="00084AAB"/>
    <w:rsid w:val="00092559"/>
    <w:rsid w:val="000927F2"/>
    <w:rsid w:val="000B5642"/>
    <w:rsid w:val="000B646B"/>
    <w:rsid w:val="000B66B9"/>
    <w:rsid w:val="000C26FF"/>
    <w:rsid w:val="000C2BF0"/>
    <w:rsid w:val="000C5036"/>
    <w:rsid w:val="000D135A"/>
    <w:rsid w:val="000D3941"/>
    <w:rsid w:val="000D4A95"/>
    <w:rsid w:val="000E337D"/>
    <w:rsid w:val="000E377F"/>
    <w:rsid w:val="000E5A09"/>
    <w:rsid w:val="000E7B5B"/>
    <w:rsid w:val="000F61CF"/>
    <w:rsid w:val="000F726E"/>
    <w:rsid w:val="00100509"/>
    <w:rsid w:val="00103CFC"/>
    <w:rsid w:val="00117C29"/>
    <w:rsid w:val="00122D16"/>
    <w:rsid w:val="00126717"/>
    <w:rsid w:val="00127F09"/>
    <w:rsid w:val="001353AB"/>
    <w:rsid w:val="00135EC8"/>
    <w:rsid w:val="00141E21"/>
    <w:rsid w:val="00142AF1"/>
    <w:rsid w:val="001447C5"/>
    <w:rsid w:val="00150559"/>
    <w:rsid w:val="0015125F"/>
    <w:rsid w:val="00154B14"/>
    <w:rsid w:val="00156796"/>
    <w:rsid w:val="00157A87"/>
    <w:rsid w:val="001608F0"/>
    <w:rsid w:val="0016372C"/>
    <w:rsid w:val="00163844"/>
    <w:rsid w:val="00163A6C"/>
    <w:rsid w:val="001642DF"/>
    <w:rsid w:val="00164CAF"/>
    <w:rsid w:val="0017147A"/>
    <w:rsid w:val="0017217C"/>
    <w:rsid w:val="00172C65"/>
    <w:rsid w:val="00173391"/>
    <w:rsid w:val="00175483"/>
    <w:rsid w:val="00176622"/>
    <w:rsid w:val="001803CE"/>
    <w:rsid w:val="00180A42"/>
    <w:rsid w:val="001867D0"/>
    <w:rsid w:val="00186A66"/>
    <w:rsid w:val="00193A17"/>
    <w:rsid w:val="00196760"/>
    <w:rsid w:val="00196E94"/>
    <w:rsid w:val="001A00DF"/>
    <w:rsid w:val="001A4990"/>
    <w:rsid w:val="001A5D06"/>
    <w:rsid w:val="001A6470"/>
    <w:rsid w:val="001A7728"/>
    <w:rsid w:val="001A79FB"/>
    <w:rsid w:val="001A7A0F"/>
    <w:rsid w:val="001B1B4E"/>
    <w:rsid w:val="001D03B9"/>
    <w:rsid w:val="001D075E"/>
    <w:rsid w:val="001D0B0C"/>
    <w:rsid w:val="001D4142"/>
    <w:rsid w:val="001D4869"/>
    <w:rsid w:val="001E0ED3"/>
    <w:rsid w:val="001E2E5A"/>
    <w:rsid w:val="001F16D7"/>
    <w:rsid w:val="001F3292"/>
    <w:rsid w:val="0020178D"/>
    <w:rsid w:val="002018CD"/>
    <w:rsid w:val="00203824"/>
    <w:rsid w:val="002044FA"/>
    <w:rsid w:val="00214CF6"/>
    <w:rsid w:val="0021578B"/>
    <w:rsid w:val="00225A33"/>
    <w:rsid w:val="00226E78"/>
    <w:rsid w:val="002346BB"/>
    <w:rsid w:val="00237C6B"/>
    <w:rsid w:val="002454FE"/>
    <w:rsid w:val="0024639C"/>
    <w:rsid w:val="00252D72"/>
    <w:rsid w:val="00255D82"/>
    <w:rsid w:val="00262674"/>
    <w:rsid w:val="0026630B"/>
    <w:rsid w:val="002749F0"/>
    <w:rsid w:val="0027577D"/>
    <w:rsid w:val="00283F66"/>
    <w:rsid w:val="002863A3"/>
    <w:rsid w:val="002867A5"/>
    <w:rsid w:val="00287C5C"/>
    <w:rsid w:val="00295B09"/>
    <w:rsid w:val="00295F3B"/>
    <w:rsid w:val="00297ACD"/>
    <w:rsid w:val="002A2C72"/>
    <w:rsid w:val="002B32FF"/>
    <w:rsid w:val="002B3FAD"/>
    <w:rsid w:val="002B7252"/>
    <w:rsid w:val="002C0FA3"/>
    <w:rsid w:val="002C2226"/>
    <w:rsid w:val="002C3251"/>
    <w:rsid w:val="002C54E6"/>
    <w:rsid w:val="002D3406"/>
    <w:rsid w:val="002D7B42"/>
    <w:rsid w:val="002E36E6"/>
    <w:rsid w:val="002E6F2F"/>
    <w:rsid w:val="002E74CE"/>
    <w:rsid w:val="002F0DD6"/>
    <w:rsid w:val="002F7BCF"/>
    <w:rsid w:val="00301C59"/>
    <w:rsid w:val="00302D15"/>
    <w:rsid w:val="003032F8"/>
    <w:rsid w:val="003051F5"/>
    <w:rsid w:val="003054D7"/>
    <w:rsid w:val="00310946"/>
    <w:rsid w:val="003112CE"/>
    <w:rsid w:val="00311711"/>
    <w:rsid w:val="00311D7F"/>
    <w:rsid w:val="00313207"/>
    <w:rsid w:val="00316E5C"/>
    <w:rsid w:val="0031790B"/>
    <w:rsid w:val="00325996"/>
    <w:rsid w:val="00326153"/>
    <w:rsid w:val="00330F8C"/>
    <w:rsid w:val="0033772E"/>
    <w:rsid w:val="003421E3"/>
    <w:rsid w:val="00347D69"/>
    <w:rsid w:val="00351E99"/>
    <w:rsid w:val="00356A36"/>
    <w:rsid w:val="00362C7B"/>
    <w:rsid w:val="0036477B"/>
    <w:rsid w:val="00366FB7"/>
    <w:rsid w:val="0037741C"/>
    <w:rsid w:val="00377842"/>
    <w:rsid w:val="00384C5D"/>
    <w:rsid w:val="00393F08"/>
    <w:rsid w:val="0039450E"/>
    <w:rsid w:val="003A1223"/>
    <w:rsid w:val="003A6DD1"/>
    <w:rsid w:val="003A7F78"/>
    <w:rsid w:val="003B3442"/>
    <w:rsid w:val="003C0BB4"/>
    <w:rsid w:val="003C7326"/>
    <w:rsid w:val="003C7F9F"/>
    <w:rsid w:val="003D1DD2"/>
    <w:rsid w:val="003E08BB"/>
    <w:rsid w:val="003E25A9"/>
    <w:rsid w:val="003E2C03"/>
    <w:rsid w:val="003E4FD2"/>
    <w:rsid w:val="003E7A71"/>
    <w:rsid w:val="003F42A8"/>
    <w:rsid w:val="003F45C2"/>
    <w:rsid w:val="0040073B"/>
    <w:rsid w:val="00412106"/>
    <w:rsid w:val="00412F6F"/>
    <w:rsid w:val="00415D30"/>
    <w:rsid w:val="0042175A"/>
    <w:rsid w:val="00425AD1"/>
    <w:rsid w:val="00430BAF"/>
    <w:rsid w:val="004322A4"/>
    <w:rsid w:val="00432A4D"/>
    <w:rsid w:val="00435F58"/>
    <w:rsid w:val="00437188"/>
    <w:rsid w:val="00447DFB"/>
    <w:rsid w:val="00453783"/>
    <w:rsid w:val="00456B03"/>
    <w:rsid w:val="00457072"/>
    <w:rsid w:val="00457E25"/>
    <w:rsid w:val="00462992"/>
    <w:rsid w:val="00465149"/>
    <w:rsid w:val="004726AF"/>
    <w:rsid w:val="00473DD8"/>
    <w:rsid w:val="00475521"/>
    <w:rsid w:val="004759AC"/>
    <w:rsid w:val="00475F7E"/>
    <w:rsid w:val="00476CAB"/>
    <w:rsid w:val="00481876"/>
    <w:rsid w:val="00482743"/>
    <w:rsid w:val="004927CA"/>
    <w:rsid w:val="004A067D"/>
    <w:rsid w:val="004A0691"/>
    <w:rsid w:val="004A198F"/>
    <w:rsid w:val="004A2870"/>
    <w:rsid w:val="004B0DE0"/>
    <w:rsid w:val="004B5752"/>
    <w:rsid w:val="004B688F"/>
    <w:rsid w:val="004C0A4D"/>
    <w:rsid w:val="004C2696"/>
    <w:rsid w:val="004C79EF"/>
    <w:rsid w:val="004D03A0"/>
    <w:rsid w:val="004D38C9"/>
    <w:rsid w:val="004D392B"/>
    <w:rsid w:val="004E2B26"/>
    <w:rsid w:val="004E4BE5"/>
    <w:rsid w:val="004F05FF"/>
    <w:rsid w:val="004F2686"/>
    <w:rsid w:val="004F2826"/>
    <w:rsid w:val="004F5686"/>
    <w:rsid w:val="004F6FCD"/>
    <w:rsid w:val="004F78B3"/>
    <w:rsid w:val="00500850"/>
    <w:rsid w:val="00501189"/>
    <w:rsid w:val="0051002C"/>
    <w:rsid w:val="005104F9"/>
    <w:rsid w:val="00524A34"/>
    <w:rsid w:val="005259C2"/>
    <w:rsid w:val="00525AE6"/>
    <w:rsid w:val="005267A3"/>
    <w:rsid w:val="00527038"/>
    <w:rsid w:val="00532A4C"/>
    <w:rsid w:val="00533D6C"/>
    <w:rsid w:val="00536244"/>
    <w:rsid w:val="0053633F"/>
    <w:rsid w:val="00541535"/>
    <w:rsid w:val="00543860"/>
    <w:rsid w:val="00552F7B"/>
    <w:rsid w:val="005564A7"/>
    <w:rsid w:val="0056207F"/>
    <w:rsid w:val="00562F7C"/>
    <w:rsid w:val="00564862"/>
    <w:rsid w:val="00566A9C"/>
    <w:rsid w:val="00570A07"/>
    <w:rsid w:val="00570C63"/>
    <w:rsid w:val="005771ED"/>
    <w:rsid w:val="005822FC"/>
    <w:rsid w:val="0059106C"/>
    <w:rsid w:val="0059359D"/>
    <w:rsid w:val="0059416A"/>
    <w:rsid w:val="00597A89"/>
    <w:rsid w:val="005A1AF2"/>
    <w:rsid w:val="005A3FA8"/>
    <w:rsid w:val="005A6D2E"/>
    <w:rsid w:val="005A7A29"/>
    <w:rsid w:val="005A7FCF"/>
    <w:rsid w:val="005B7E19"/>
    <w:rsid w:val="005B7EFC"/>
    <w:rsid w:val="005C16DC"/>
    <w:rsid w:val="005C3D05"/>
    <w:rsid w:val="005C6E52"/>
    <w:rsid w:val="005D406F"/>
    <w:rsid w:val="005D5230"/>
    <w:rsid w:val="005D7765"/>
    <w:rsid w:val="005E5789"/>
    <w:rsid w:val="005F19BC"/>
    <w:rsid w:val="005F55F5"/>
    <w:rsid w:val="005F6E7F"/>
    <w:rsid w:val="00602E3D"/>
    <w:rsid w:val="00604861"/>
    <w:rsid w:val="006054D1"/>
    <w:rsid w:val="00612D9C"/>
    <w:rsid w:val="00613770"/>
    <w:rsid w:val="006140B2"/>
    <w:rsid w:val="00614132"/>
    <w:rsid w:val="006220C7"/>
    <w:rsid w:val="00622CC6"/>
    <w:rsid w:val="0062450B"/>
    <w:rsid w:val="006364AE"/>
    <w:rsid w:val="00640ADA"/>
    <w:rsid w:val="0064393F"/>
    <w:rsid w:val="00650B53"/>
    <w:rsid w:val="00652CD6"/>
    <w:rsid w:val="00654EE9"/>
    <w:rsid w:val="00656A18"/>
    <w:rsid w:val="00660DDE"/>
    <w:rsid w:val="00661FA0"/>
    <w:rsid w:val="00664FD9"/>
    <w:rsid w:val="0066590B"/>
    <w:rsid w:val="0067267D"/>
    <w:rsid w:val="00672C64"/>
    <w:rsid w:val="00673628"/>
    <w:rsid w:val="00674B79"/>
    <w:rsid w:val="006800B2"/>
    <w:rsid w:val="00681B43"/>
    <w:rsid w:val="00683579"/>
    <w:rsid w:val="006846D8"/>
    <w:rsid w:val="00685C84"/>
    <w:rsid w:val="00695C6B"/>
    <w:rsid w:val="00697448"/>
    <w:rsid w:val="00697C82"/>
    <w:rsid w:val="006A1673"/>
    <w:rsid w:val="006A2C02"/>
    <w:rsid w:val="006A418D"/>
    <w:rsid w:val="006A6617"/>
    <w:rsid w:val="006B0DC9"/>
    <w:rsid w:val="006B16B5"/>
    <w:rsid w:val="006B1D51"/>
    <w:rsid w:val="006B3471"/>
    <w:rsid w:val="006B713E"/>
    <w:rsid w:val="006C05E1"/>
    <w:rsid w:val="006C1F01"/>
    <w:rsid w:val="006C2325"/>
    <w:rsid w:val="006C29D1"/>
    <w:rsid w:val="006C43E8"/>
    <w:rsid w:val="006C6B82"/>
    <w:rsid w:val="006E587E"/>
    <w:rsid w:val="006E5E2D"/>
    <w:rsid w:val="006F3EE7"/>
    <w:rsid w:val="00700AD4"/>
    <w:rsid w:val="00701C52"/>
    <w:rsid w:val="007027D6"/>
    <w:rsid w:val="00702FCB"/>
    <w:rsid w:val="00703502"/>
    <w:rsid w:val="00706B29"/>
    <w:rsid w:val="00706B9A"/>
    <w:rsid w:val="007101A1"/>
    <w:rsid w:val="00711DD4"/>
    <w:rsid w:val="00712304"/>
    <w:rsid w:val="007123E4"/>
    <w:rsid w:val="00713DA1"/>
    <w:rsid w:val="00715DC6"/>
    <w:rsid w:val="00717E4E"/>
    <w:rsid w:val="00734BD8"/>
    <w:rsid w:val="00740B86"/>
    <w:rsid w:val="00740C11"/>
    <w:rsid w:val="00742985"/>
    <w:rsid w:val="00745B53"/>
    <w:rsid w:val="007521A9"/>
    <w:rsid w:val="00754B09"/>
    <w:rsid w:val="00760A91"/>
    <w:rsid w:val="007739A7"/>
    <w:rsid w:val="00776086"/>
    <w:rsid w:val="00782501"/>
    <w:rsid w:val="00783223"/>
    <w:rsid w:val="00792123"/>
    <w:rsid w:val="007B0E4B"/>
    <w:rsid w:val="007B0F8C"/>
    <w:rsid w:val="007B2836"/>
    <w:rsid w:val="007B40EA"/>
    <w:rsid w:val="007B7160"/>
    <w:rsid w:val="007C0C4C"/>
    <w:rsid w:val="007C1A2B"/>
    <w:rsid w:val="007D094A"/>
    <w:rsid w:val="007D1C43"/>
    <w:rsid w:val="007D4C92"/>
    <w:rsid w:val="007D4E6D"/>
    <w:rsid w:val="007E0656"/>
    <w:rsid w:val="007E3302"/>
    <w:rsid w:val="007E559D"/>
    <w:rsid w:val="007E6EAF"/>
    <w:rsid w:val="007F160F"/>
    <w:rsid w:val="007F2D49"/>
    <w:rsid w:val="007F436F"/>
    <w:rsid w:val="0081352F"/>
    <w:rsid w:val="0081489A"/>
    <w:rsid w:val="00821931"/>
    <w:rsid w:val="00823879"/>
    <w:rsid w:val="00823D98"/>
    <w:rsid w:val="008252FA"/>
    <w:rsid w:val="0083205E"/>
    <w:rsid w:val="00841584"/>
    <w:rsid w:val="00842132"/>
    <w:rsid w:val="00842A75"/>
    <w:rsid w:val="00846E9D"/>
    <w:rsid w:val="008503A7"/>
    <w:rsid w:val="00851366"/>
    <w:rsid w:val="008547EF"/>
    <w:rsid w:val="008667CE"/>
    <w:rsid w:val="00870E62"/>
    <w:rsid w:val="008730A8"/>
    <w:rsid w:val="00874B09"/>
    <w:rsid w:val="0087593A"/>
    <w:rsid w:val="00876977"/>
    <w:rsid w:val="008814FD"/>
    <w:rsid w:val="00882DB8"/>
    <w:rsid w:val="008867C2"/>
    <w:rsid w:val="00894721"/>
    <w:rsid w:val="008A134F"/>
    <w:rsid w:val="008A27B1"/>
    <w:rsid w:val="008A52B7"/>
    <w:rsid w:val="008A53EC"/>
    <w:rsid w:val="008A5474"/>
    <w:rsid w:val="008A7AAE"/>
    <w:rsid w:val="008B4F11"/>
    <w:rsid w:val="008C40DB"/>
    <w:rsid w:val="008C5C42"/>
    <w:rsid w:val="008D13AD"/>
    <w:rsid w:val="008D3E64"/>
    <w:rsid w:val="008D5104"/>
    <w:rsid w:val="008D6625"/>
    <w:rsid w:val="008D7007"/>
    <w:rsid w:val="008E15C7"/>
    <w:rsid w:val="008E3D83"/>
    <w:rsid w:val="008E6FA4"/>
    <w:rsid w:val="008F0CBC"/>
    <w:rsid w:val="008F50B5"/>
    <w:rsid w:val="00903299"/>
    <w:rsid w:val="00905B2F"/>
    <w:rsid w:val="00914B01"/>
    <w:rsid w:val="00915113"/>
    <w:rsid w:val="00915681"/>
    <w:rsid w:val="00917DB7"/>
    <w:rsid w:val="009250B7"/>
    <w:rsid w:val="0093001D"/>
    <w:rsid w:val="00930D1F"/>
    <w:rsid w:val="009323AC"/>
    <w:rsid w:val="00936862"/>
    <w:rsid w:val="00936F81"/>
    <w:rsid w:val="0094058F"/>
    <w:rsid w:val="009420F7"/>
    <w:rsid w:val="009457E7"/>
    <w:rsid w:val="00951632"/>
    <w:rsid w:val="009548A9"/>
    <w:rsid w:val="00962466"/>
    <w:rsid w:val="00962D50"/>
    <w:rsid w:val="00972A5F"/>
    <w:rsid w:val="0098428A"/>
    <w:rsid w:val="00985493"/>
    <w:rsid w:val="009917B8"/>
    <w:rsid w:val="0099380F"/>
    <w:rsid w:val="00995312"/>
    <w:rsid w:val="009A1B47"/>
    <w:rsid w:val="009A72D2"/>
    <w:rsid w:val="009B7818"/>
    <w:rsid w:val="009C3ABD"/>
    <w:rsid w:val="009C5262"/>
    <w:rsid w:val="009C53FC"/>
    <w:rsid w:val="009C7599"/>
    <w:rsid w:val="009D013C"/>
    <w:rsid w:val="009D4624"/>
    <w:rsid w:val="009D79C0"/>
    <w:rsid w:val="009E00BF"/>
    <w:rsid w:val="009E0746"/>
    <w:rsid w:val="009E1625"/>
    <w:rsid w:val="009E4CE0"/>
    <w:rsid w:val="009E7546"/>
    <w:rsid w:val="009F07F8"/>
    <w:rsid w:val="009F3A88"/>
    <w:rsid w:val="009F4CB0"/>
    <w:rsid w:val="009F4FA9"/>
    <w:rsid w:val="00A0413F"/>
    <w:rsid w:val="00A05005"/>
    <w:rsid w:val="00A10378"/>
    <w:rsid w:val="00A108DC"/>
    <w:rsid w:val="00A12BED"/>
    <w:rsid w:val="00A13BD6"/>
    <w:rsid w:val="00A20F59"/>
    <w:rsid w:val="00A31B8F"/>
    <w:rsid w:val="00A3223C"/>
    <w:rsid w:val="00A32423"/>
    <w:rsid w:val="00A45551"/>
    <w:rsid w:val="00A61042"/>
    <w:rsid w:val="00A6171B"/>
    <w:rsid w:val="00A66581"/>
    <w:rsid w:val="00A7627C"/>
    <w:rsid w:val="00A80527"/>
    <w:rsid w:val="00A80CFF"/>
    <w:rsid w:val="00A9161D"/>
    <w:rsid w:val="00A94D8F"/>
    <w:rsid w:val="00AA13CA"/>
    <w:rsid w:val="00AA1D10"/>
    <w:rsid w:val="00AA2B51"/>
    <w:rsid w:val="00AB64CA"/>
    <w:rsid w:val="00AC24E4"/>
    <w:rsid w:val="00AC439D"/>
    <w:rsid w:val="00AD203D"/>
    <w:rsid w:val="00AE13F9"/>
    <w:rsid w:val="00AF6D37"/>
    <w:rsid w:val="00B02515"/>
    <w:rsid w:val="00B04618"/>
    <w:rsid w:val="00B05F5B"/>
    <w:rsid w:val="00B06B1B"/>
    <w:rsid w:val="00B10678"/>
    <w:rsid w:val="00B11CD7"/>
    <w:rsid w:val="00B13109"/>
    <w:rsid w:val="00B154E3"/>
    <w:rsid w:val="00B23DB6"/>
    <w:rsid w:val="00B333D0"/>
    <w:rsid w:val="00B41163"/>
    <w:rsid w:val="00B41E74"/>
    <w:rsid w:val="00B460A5"/>
    <w:rsid w:val="00B4637E"/>
    <w:rsid w:val="00B4754A"/>
    <w:rsid w:val="00B52ECF"/>
    <w:rsid w:val="00B530F0"/>
    <w:rsid w:val="00B532FB"/>
    <w:rsid w:val="00B643E1"/>
    <w:rsid w:val="00B706F6"/>
    <w:rsid w:val="00B83185"/>
    <w:rsid w:val="00B852B4"/>
    <w:rsid w:val="00B85F33"/>
    <w:rsid w:val="00B8771D"/>
    <w:rsid w:val="00B95FDE"/>
    <w:rsid w:val="00B9693E"/>
    <w:rsid w:val="00BA0B3B"/>
    <w:rsid w:val="00BA4D89"/>
    <w:rsid w:val="00BA574D"/>
    <w:rsid w:val="00BA6435"/>
    <w:rsid w:val="00BB420F"/>
    <w:rsid w:val="00BB6CE1"/>
    <w:rsid w:val="00BB77EB"/>
    <w:rsid w:val="00BC024A"/>
    <w:rsid w:val="00BC4646"/>
    <w:rsid w:val="00BC69F3"/>
    <w:rsid w:val="00BC7406"/>
    <w:rsid w:val="00BD10B5"/>
    <w:rsid w:val="00BD4015"/>
    <w:rsid w:val="00BD6324"/>
    <w:rsid w:val="00BD63FE"/>
    <w:rsid w:val="00BE05E7"/>
    <w:rsid w:val="00BE256A"/>
    <w:rsid w:val="00BE3067"/>
    <w:rsid w:val="00BE3600"/>
    <w:rsid w:val="00BE7490"/>
    <w:rsid w:val="00BF1D01"/>
    <w:rsid w:val="00BF2AA9"/>
    <w:rsid w:val="00BF522E"/>
    <w:rsid w:val="00BF5AD8"/>
    <w:rsid w:val="00C022D6"/>
    <w:rsid w:val="00C066F7"/>
    <w:rsid w:val="00C06AA9"/>
    <w:rsid w:val="00C07607"/>
    <w:rsid w:val="00C130F2"/>
    <w:rsid w:val="00C27C9E"/>
    <w:rsid w:val="00C31DAA"/>
    <w:rsid w:val="00C34670"/>
    <w:rsid w:val="00C35BDD"/>
    <w:rsid w:val="00C52C75"/>
    <w:rsid w:val="00C5317B"/>
    <w:rsid w:val="00C54C3E"/>
    <w:rsid w:val="00C64DB1"/>
    <w:rsid w:val="00C65C28"/>
    <w:rsid w:val="00C66D52"/>
    <w:rsid w:val="00C70A2C"/>
    <w:rsid w:val="00C70BF8"/>
    <w:rsid w:val="00C8131F"/>
    <w:rsid w:val="00C826E1"/>
    <w:rsid w:val="00C831D1"/>
    <w:rsid w:val="00C84BE7"/>
    <w:rsid w:val="00C9441E"/>
    <w:rsid w:val="00C95BBA"/>
    <w:rsid w:val="00C95CEA"/>
    <w:rsid w:val="00C973BF"/>
    <w:rsid w:val="00CA0D3B"/>
    <w:rsid w:val="00CA15B2"/>
    <w:rsid w:val="00CA3C72"/>
    <w:rsid w:val="00CB2D67"/>
    <w:rsid w:val="00CC0FE0"/>
    <w:rsid w:val="00CC2203"/>
    <w:rsid w:val="00CC4CC2"/>
    <w:rsid w:val="00CC759F"/>
    <w:rsid w:val="00CD0A4C"/>
    <w:rsid w:val="00CD0CF1"/>
    <w:rsid w:val="00CE03B0"/>
    <w:rsid w:val="00CE558D"/>
    <w:rsid w:val="00CE5E35"/>
    <w:rsid w:val="00CE7D76"/>
    <w:rsid w:val="00CF24D0"/>
    <w:rsid w:val="00CF7CD9"/>
    <w:rsid w:val="00D00BC6"/>
    <w:rsid w:val="00D025A2"/>
    <w:rsid w:val="00D04B64"/>
    <w:rsid w:val="00D10E1D"/>
    <w:rsid w:val="00D15B2D"/>
    <w:rsid w:val="00D21042"/>
    <w:rsid w:val="00D25C5D"/>
    <w:rsid w:val="00D30E97"/>
    <w:rsid w:val="00D3258D"/>
    <w:rsid w:val="00D331C2"/>
    <w:rsid w:val="00D34B25"/>
    <w:rsid w:val="00D35039"/>
    <w:rsid w:val="00D36B14"/>
    <w:rsid w:val="00D374D2"/>
    <w:rsid w:val="00D43EA4"/>
    <w:rsid w:val="00D457A8"/>
    <w:rsid w:val="00D45D5F"/>
    <w:rsid w:val="00D47D1E"/>
    <w:rsid w:val="00D6085B"/>
    <w:rsid w:val="00D63670"/>
    <w:rsid w:val="00D64016"/>
    <w:rsid w:val="00D7023B"/>
    <w:rsid w:val="00D704E0"/>
    <w:rsid w:val="00D75337"/>
    <w:rsid w:val="00D76578"/>
    <w:rsid w:val="00D77A3D"/>
    <w:rsid w:val="00D92088"/>
    <w:rsid w:val="00D96873"/>
    <w:rsid w:val="00DA0226"/>
    <w:rsid w:val="00DA1D22"/>
    <w:rsid w:val="00DA596C"/>
    <w:rsid w:val="00DA7ADA"/>
    <w:rsid w:val="00DB1037"/>
    <w:rsid w:val="00DB654F"/>
    <w:rsid w:val="00DC2573"/>
    <w:rsid w:val="00DC2862"/>
    <w:rsid w:val="00DD0E8A"/>
    <w:rsid w:val="00DD2E66"/>
    <w:rsid w:val="00DD3F7F"/>
    <w:rsid w:val="00DE169C"/>
    <w:rsid w:val="00DE1ECC"/>
    <w:rsid w:val="00DE5AB8"/>
    <w:rsid w:val="00DE713A"/>
    <w:rsid w:val="00DE72C9"/>
    <w:rsid w:val="00DF0817"/>
    <w:rsid w:val="00DF0A75"/>
    <w:rsid w:val="00DF3A1E"/>
    <w:rsid w:val="00DF5C7F"/>
    <w:rsid w:val="00E01939"/>
    <w:rsid w:val="00E04003"/>
    <w:rsid w:val="00E04386"/>
    <w:rsid w:val="00E0628E"/>
    <w:rsid w:val="00E10BF0"/>
    <w:rsid w:val="00E12215"/>
    <w:rsid w:val="00E23B07"/>
    <w:rsid w:val="00E24C3D"/>
    <w:rsid w:val="00E315BE"/>
    <w:rsid w:val="00E33DB6"/>
    <w:rsid w:val="00E41556"/>
    <w:rsid w:val="00E450D5"/>
    <w:rsid w:val="00E47238"/>
    <w:rsid w:val="00E5195A"/>
    <w:rsid w:val="00E51AEA"/>
    <w:rsid w:val="00E60065"/>
    <w:rsid w:val="00E62FAB"/>
    <w:rsid w:val="00E73220"/>
    <w:rsid w:val="00E7412A"/>
    <w:rsid w:val="00E7638E"/>
    <w:rsid w:val="00E80817"/>
    <w:rsid w:val="00E84AA7"/>
    <w:rsid w:val="00E86FBF"/>
    <w:rsid w:val="00E87FEE"/>
    <w:rsid w:val="00EA16DA"/>
    <w:rsid w:val="00EA322B"/>
    <w:rsid w:val="00EA3C48"/>
    <w:rsid w:val="00EB2148"/>
    <w:rsid w:val="00EB6936"/>
    <w:rsid w:val="00EC228A"/>
    <w:rsid w:val="00EC23F2"/>
    <w:rsid w:val="00EC39B1"/>
    <w:rsid w:val="00EC5C17"/>
    <w:rsid w:val="00EC66A8"/>
    <w:rsid w:val="00EC6E62"/>
    <w:rsid w:val="00EC7874"/>
    <w:rsid w:val="00ED44E4"/>
    <w:rsid w:val="00ED6D6B"/>
    <w:rsid w:val="00EE0A01"/>
    <w:rsid w:val="00EE33BD"/>
    <w:rsid w:val="00EE3562"/>
    <w:rsid w:val="00EE47A5"/>
    <w:rsid w:val="00EE6380"/>
    <w:rsid w:val="00F02182"/>
    <w:rsid w:val="00F07792"/>
    <w:rsid w:val="00F12154"/>
    <w:rsid w:val="00F12C59"/>
    <w:rsid w:val="00F1504B"/>
    <w:rsid w:val="00F17521"/>
    <w:rsid w:val="00F21C60"/>
    <w:rsid w:val="00F3046E"/>
    <w:rsid w:val="00F348AD"/>
    <w:rsid w:val="00F34FDF"/>
    <w:rsid w:val="00F357A0"/>
    <w:rsid w:val="00F42040"/>
    <w:rsid w:val="00F420F7"/>
    <w:rsid w:val="00F516A1"/>
    <w:rsid w:val="00F615A4"/>
    <w:rsid w:val="00F66EBE"/>
    <w:rsid w:val="00F7240C"/>
    <w:rsid w:val="00F774FE"/>
    <w:rsid w:val="00F77959"/>
    <w:rsid w:val="00F8065E"/>
    <w:rsid w:val="00F85DAC"/>
    <w:rsid w:val="00F85E8E"/>
    <w:rsid w:val="00F93421"/>
    <w:rsid w:val="00F96F57"/>
    <w:rsid w:val="00F97E0C"/>
    <w:rsid w:val="00FA1980"/>
    <w:rsid w:val="00FA2062"/>
    <w:rsid w:val="00FA581C"/>
    <w:rsid w:val="00FA6BB9"/>
    <w:rsid w:val="00FA7B7E"/>
    <w:rsid w:val="00FB71A2"/>
    <w:rsid w:val="00FB7B83"/>
    <w:rsid w:val="00FC798D"/>
    <w:rsid w:val="00FE3638"/>
    <w:rsid w:val="00FE36D9"/>
    <w:rsid w:val="00FE5C7E"/>
    <w:rsid w:val="00FF0E71"/>
    <w:rsid w:val="00FF12FB"/>
    <w:rsid w:val="00FF2E8F"/>
    <w:rsid w:val="00FF3624"/>
    <w:rsid w:val="00FF51F7"/>
    <w:rsid w:val="00FF5C1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F5B"/>
    <w:rPr>
      <w:b/>
      <w:bCs/>
      <w:color w:val="000000"/>
      <w:sz w:val="20"/>
      <w:szCs w:val="20"/>
    </w:rPr>
  </w:style>
  <w:style w:type="paragraph" w:styleId="Heading1">
    <w:name w:val="heading 1"/>
    <w:basedOn w:val="Normal"/>
    <w:next w:val="Normal"/>
    <w:link w:val="Heading1Char"/>
    <w:uiPriority w:val="99"/>
    <w:qFormat/>
    <w:rsid w:val="00B05F5B"/>
    <w:pPr>
      <w:keepNext/>
      <w:ind w:left="709"/>
      <w:outlineLvl w:val="0"/>
    </w:pPr>
    <w:rPr>
      <w:b w:val="0"/>
      <w:bCs w:val="0"/>
      <w:sz w:val="24"/>
    </w:rPr>
  </w:style>
  <w:style w:type="paragraph" w:styleId="Heading2">
    <w:name w:val="heading 2"/>
    <w:basedOn w:val="Normal"/>
    <w:next w:val="Normal"/>
    <w:link w:val="Heading2Char"/>
    <w:uiPriority w:val="99"/>
    <w:qFormat/>
    <w:rsid w:val="00B05F5B"/>
    <w:pPr>
      <w:keepNext/>
      <w:jc w:val="both"/>
      <w:outlineLvl w:val="1"/>
    </w:pPr>
    <w:rPr>
      <w:color w:val="auto"/>
      <w:sz w:val="28"/>
    </w:rPr>
  </w:style>
  <w:style w:type="paragraph" w:styleId="Heading3">
    <w:name w:val="heading 3"/>
    <w:basedOn w:val="Normal"/>
    <w:next w:val="Normal"/>
    <w:link w:val="Heading3Char"/>
    <w:uiPriority w:val="99"/>
    <w:qFormat/>
    <w:rsid w:val="00B05F5B"/>
    <w:pPr>
      <w:keepNext/>
      <w:autoSpaceDE w:val="0"/>
      <w:autoSpaceDN w:val="0"/>
      <w:ind w:left="360"/>
      <w:jc w:val="both"/>
      <w:outlineLvl w:val="2"/>
    </w:pPr>
    <w:rPr>
      <w:b w:val="0"/>
      <w:bCs w:val="0"/>
      <w:color w:val="auto"/>
      <w:sz w:val="24"/>
      <w:szCs w:val="24"/>
    </w:rPr>
  </w:style>
  <w:style w:type="paragraph" w:styleId="Heading5">
    <w:name w:val="heading 5"/>
    <w:basedOn w:val="Normal"/>
    <w:next w:val="Normal"/>
    <w:link w:val="Heading5Char"/>
    <w:uiPriority w:val="99"/>
    <w:qFormat/>
    <w:rsid w:val="00B05F5B"/>
    <w:pPr>
      <w:keepNext/>
      <w:jc w:val="center"/>
      <w:outlineLvl w:val="4"/>
    </w:pPr>
    <w:rPr>
      <w:color w:val="auto"/>
      <w:sz w:val="28"/>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450D5"/>
    <w:rPr>
      <w:rFonts w:ascii="Cambria" w:hAnsi="Cambria" w:cs="Times New Roman"/>
      <w:b/>
      <w:bCs/>
      <w:color w:val="000000"/>
      <w:kern w:val="32"/>
      <w:sz w:val="32"/>
      <w:szCs w:val="32"/>
    </w:rPr>
  </w:style>
  <w:style w:type="character" w:customStyle="1" w:styleId="Heading2Char">
    <w:name w:val="Heading 2 Char"/>
    <w:basedOn w:val="DefaultParagraphFont"/>
    <w:link w:val="Heading2"/>
    <w:uiPriority w:val="99"/>
    <w:semiHidden/>
    <w:locked/>
    <w:rsid w:val="00E450D5"/>
    <w:rPr>
      <w:rFonts w:ascii="Cambria" w:hAnsi="Cambria" w:cs="Times New Roman"/>
      <w:b/>
      <w:bCs/>
      <w:i/>
      <w:iCs/>
      <w:color w:val="000000"/>
      <w:sz w:val="28"/>
      <w:szCs w:val="28"/>
    </w:rPr>
  </w:style>
  <w:style w:type="character" w:customStyle="1" w:styleId="Heading3Char">
    <w:name w:val="Heading 3 Char"/>
    <w:basedOn w:val="DefaultParagraphFont"/>
    <w:link w:val="Heading3"/>
    <w:uiPriority w:val="99"/>
    <w:semiHidden/>
    <w:locked/>
    <w:rsid w:val="00E450D5"/>
    <w:rPr>
      <w:rFonts w:ascii="Cambria" w:hAnsi="Cambria" w:cs="Times New Roman"/>
      <w:b/>
      <w:bCs/>
      <w:color w:val="000000"/>
      <w:sz w:val="26"/>
      <w:szCs w:val="26"/>
    </w:rPr>
  </w:style>
  <w:style w:type="character" w:customStyle="1" w:styleId="Heading5Char">
    <w:name w:val="Heading 5 Char"/>
    <w:basedOn w:val="DefaultParagraphFont"/>
    <w:link w:val="Heading5"/>
    <w:uiPriority w:val="99"/>
    <w:semiHidden/>
    <w:locked/>
    <w:rsid w:val="00E450D5"/>
    <w:rPr>
      <w:rFonts w:ascii="Calibri" w:hAnsi="Calibri" w:cs="Times New Roman"/>
      <w:b/>
      <w:bCs/>
      <w:i/>
      <w:iCs/>
      <w:color w:val="000000"/>
      <w:sz w:val="26"/>
      <w:szCs w:val="26"/>
    </w:rPr>
  </w:style>
  <w:style w:type="paragraph" w:styleId="Header">
    <w:name w:val="header"/>
    <w:basedOn w:val="Normal"/>
    <w:link w:val="HeaderChar"/>
    <w:uiPriority w:val="99"/>
    <w:rsid w:val="00B05F5B"/>
    <w:pPr>
      <w:tabs>
        <w:tab w:val="center" w:pos="4677"/>
        <w:tab w:val="right" w:pos="9355"/>
      </w:tabs>
    </w:pPr>
  </w:style>
  <w:style w:type="character" w:customStyle="1" w:styleId="HeaderChar">
    <w:name w:val="Header Char"/>
    <w:basedOn w:val="DefaultParagraphFont"/>
    <w:link w:val="Header"/>
    <w:uiPriority w:val="99"/>
    <w:semiHidden/>
    <w:locked/>
    <w:rsid w:val="00E450D5"/>
    <w:rPr>
      <w:rFonts w:cs="Times New Roman"/>
      <w:b/>
      <w:bCs/>
      <w:color w:val="000000"/>
      <w:sz w:val="20"/>
      <w:szCs w:val="20"/>
    </w:rPr>
  </w:style>
  <w:style w:type="character" w:styleId="PageNumber">
    <w:name w:val="page number"/>
    <w:basedOn w:val="DefaultParagraphFont"/>
    <w:uiPriority w:val="99"/>
    <w:rsid w:val="00B05F5B"/>
    <w:rPr>
      <w:rFonts w:cs="Times New Roman"/>
    </w:rPr>
  </w:style>
  <w:style w:type="paragraph" w:styleId="Footer">
    <w:name w:val="footer"/>
    <w:basedOn w:val="Normal"/>
    <w:link w:val="FooterChar"/>
    <w:uiPriority w:val="99"/>
    <w:rsid w:val="00B05F5B"/>
    <w:pPr>
      <w:tabs>
        <w:tab w:val="center" w:pos="4677"/>
        <w:tab w:val="right" w:pos="9355"/>
      </w:tabs>
    </w:pPr>
  </w:style>
  <w:style w:type="character" w:customStyle="1" w:styleId="FooterChar">
    <w:name w:val="Footer Char"/>
    <w:basedOn w:val="DefaultParagraphFont"/>
    <w:link w:val="Footer"/>
    <w:uiPriority w:val="99"/>
    <w:semiHidden/>
    <w:locked/>
    <w:rsid w:val="00E450D5"/>
    <w:rPr>
      <w:rFonts w:cs="Times New Roman"/>
      <w:b/>
      <w:bCs/>
      <w:color w:val="000000"/>
      <w:sz w:val="20"/>
      <w:szCs w:val="20"/>
    </w:rPr>
  </w:style>
  <w:style w:type="paragraph" w:styleId="BodyText2">
    <w:name w:val="Body Text 2"/>
    <w:basedOn w:val="Normal"/>
    <w:link w:val="BodyText2Char"/>
    <w:uiPriority w:val="99"/>
    <w:rsid w:val="00B05F5B"/>
    <w:pPr>
      <w:jc w:val="both"/>
    </w:pPr>
    <w:rPr>
      <w:b w:val="0"/>
      <w:bCs w:val="0"/>
      <w:sz w:val="24"/>
    </w:rPr>
  </w:style>
  <w:style w:type="character" w:customStyle="1" w:styleId="BodyText2Char">
    <w:name w:val="Body Text 2 Char"/>
    <w:basedOn w:val="DefaultParagraphFont"/>
    <w:link w:val="BodyText2"/>
    <w:uiPriority w:val="99"/>
    <w:semiHidden/>
    <w:locked/>
    <w:rsid w:val="00E450D5"/>
    <w:rPr>
      <w:rFonts w:cs="Times New Roman"/>
      <w:b/>
      <w:bCs/>
      <w:color w:val="000000"/>
      <w:sz w:val="20"/>
      <w:szCs w:val="20"/>
    </w:rPr>
  </w:style>
  <w:style w:type="paragraph" w:customStyle="1" w:styleId="a">
    <w:name w:val="Подписи"/>
    <w:basedOn w:val="Normal"/>
    <w:uiPriority w:val="99"/>
    <w:rsid w:val="00B05F5B"/>
    <w:pPr>
      <w:ind w:left="567"/>
    </w:pPr>
    <w:rPr>
      <w:b w:val="0"/>
      <w:bCs w:val="0"/>
      <w:sz w:val="24"/>
    </w:rPr>
  </w:style>
  <w:style w:type="paragraph" w:styleId="BodyTextIndent">
    <w:name w:val="Body Text Indent"/>
    <w:basedOn w:val="Normal"/>
    <w:link w:val="BodyTextIndentChar"/>
    <w:uiPriority w:val="99"/>
    <w:rsid w:val="00B05F5B"/>
    <w:pPr>
      <w:spacing w:after="120"/>
      <w:ind w:left="283"/>
    </w:pPr>
  </w:style>
  <w:style w:type="character" w:customStyle="1" w:styleId="BodyTextIndentChar">
    <w:name w:val="Body Text Indent Char"/>
    <w:basedOn w:val="DefaultParagraphFont"/>
    <w:link w:val="BodyTextIndent"/>
    <w:uiPriority w:val="99"/>
    <w:semiHidden/>
    <w:locked/>
    <w:rsid w:val="00E450D5"/>
    <w:rPr>
      <w:rFonts w:cs="Times New Roman"/>
      <w:b/>
      <w:bCs/>
      <w:color w:val="000000"/>
      <w:sz w:val="20"/>
      <w:szCs w:val="20"/>
    </w:rPr>
  </w:style>
  <w:style w:type="table" w:styleId="TableGrid">
    <w:name w:val="Table Grid"/>
    <w:basedOn w:val="TableNormal"/>
    <w:uiPriority w:val="99"/>
    <w:rsid w:val="00B05F5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aliases w:val="Текст Знак,Текст Знак1 Знак,Текст Знак Знак Знак,Знак Знак Знак Знак,Текст Знак1,Знак Знак Знак,Знак,Текст Знак2 Знак,Текст Знак1 Знак1 Знак,Текст Знак Знак Знак1 Знак,Текст Знак1 Знак Знак Знак Знак,Знак3"/>
    <w:basedOn w:val="Normal"/>
    <w:link w:val="PlainTextChar"/>
    <w:uiPriority w:val="99"/>
    <w:rsid w:val="00B05F5B"/>
    <w:rPr>
      <w:rFonts w:ascii="Courier New" w:hAnsi="Courier New"/>
      <w:b w:val="0"/>
      <w:bCs w:val="0"/>
      <w:color w:val="auto"/>
    </w:rPr>
  </w:style>
  <w:style w:type="character" w:customStyle="1" w:styleId="PlainTextChar">
    <w:name w:val="Plain Text Char"/>
    <w:aliases w:val="Текст Знак Char,Текст Знак1 Знак Char,Текст Знак Знак Знак Char,Знак Знак Знак Знак Char,Текст Знак1 Char,Знак Знак Знак Char,Знак Char,Текст Знак2 Знак Char,Текст Знак1 Знак1 Знак Char,Текст Знак Знак Знак1 Знак Char,Знак3 Char"/>
    <w:basedOn w:val="DefaultParagraphFont"/>
    <w:link w:val="PlainText"/>
    <w:uiPriority w:val="99"/>
    <w:locked/>
    <w:rsid w:val="007D094A"/>
    <w:rPr>
      <w:rFonts w:ascii="Courier New" w:hAnsi="Courier New" w:cs="Times New Roman"/>
    </w:rPr>
  </w:style>
  <w:style w:type="paragraph" w:styleId="BodyText">
    <w:name w:val="Body Text"/>
    <w:basedOn w:val="Normal"/>
    <w:link w:val="BodyTextChar"/>
    <w:uiPriority w:val="99"/>
    <w:rsid w:val="00B05F5B"/>
    <w:pPr>
      <w:spacing w:after="120"/>
    </w:pPr>
  </w:style>
  <w:style w:type="character" w:customStyle="1" w:styleId="BodyTextChar">
    <w:name w:val="Body Text Char"/>
    <w:basedOn w:val="DefaultParagraphFont"/>
    <w:link w:val="BodyText"/>
    <w:uiPriority w:val="99"/>
    <w:semiHidden/>
    <w:locked/>
    <w:rsid w:val="00E450D5"/>
    <w:rPr>
      <w:rFonts w:cs="Times New Roman"/>
      <w:b/>
      <w:bCs/>
      <w:color w:val="000000"/>
      <w:sz w:val="20"/>
      <w:szCs w:val="20"/>
    </w:rPr>
  </w:style>
  <w:style w:type="paragraph" w:customStyle="1" w:styleId="1">
    <w:name w:val="Текст1"/>
    <w:basedOn w:val="Normal"/>
    <w:uiPriority w:val="99"/>
    <w:rsid w:val="00B05F5B"/>
    <w:pPr>
      <w:overflowPunct w:val="0"/>
      <w:autoSpaceDE w:val="0"/>
      <w:autoSpaceDN w:val="0"/>
      <w:adjustRightInd w:val="0"/>
      <w:textAlignment w:val="baseline"/>
    </w:pPr>
    <w:rPr>
      <w:rFonts w:ascii="Courier New" w:hAnsi="Courier New"/>
      <w:b w:val="0"/>
      <w:bCs w:val="0"/>
      <w:color w:val="auto"/>
    </w:rPr>
  </w:style>
  <w:style w:type="paragraph" w:styleId="Title">
    <w:name w:val="Title"/>
    <w:basedOn w:val="Normal"/>
    <w:link w:val="TitleChar"/>
    <w:uiPriority w:val="99"/>
    <w:qFormat/>
    <w:rsid w:val="00B05F5B"/>
    <w:pPr>
      <w:widowControl w:val="0"/>
      <w:jc w:val="center"/>
    </w:pPr>
    <w:rPr>
      <w:bCs w:val="0"/>
      <w:color w:val="auto"/>
      <w:sz w:val="24"/>
    </w:rPr>
  </w:style>
  <w:style w:type="character" w:customStyle="1" w:styleId="TitleChar">
    <w:name w:val="Title Char"/>
    <w:basedOn w:val="DefaultParagraphFont"/>
    <w:link w:val="Title"/>
    <w:uiPriority w:val="99"/>
    <w:locked/>
    <w:rsid w:val="00E450D5"/>
    <w:rPr>
      <w:rFonts w:ascii="Cambria" w:hAnsi="Cambria" w:cs="Times New Roman"/>
      <w:b/>
      <w:bCs/>
      <w:color w:val="000000"/>
      <w:kern w:val="28"/>
      <w:sz w:val="32"/>
      <w:szCs w:val="32"/>
    </w:rPr>
  </w:style>
  <w:style w:type="paragraph" w:customStyle="1" w:styleId="21">
    <w:name w:val="Основной текст с отступом 21"/>
    <w:basedOn w:val="Normal"/>
    <w:uiPriority w:val="99"/>
    <w:rsid w:val="00B05F5B"/>
    <w:pPr>
      <w:widowControl w:val="0"/>
      <w:ind w:firstLine="720"/>
      <w:jc w:val="both"/>
    </w:pPr>
    <w:rPr>
      <w:b w:val="0"/>
      <w:bCs w:val="0"/>
      <w:color w:val="auto"/>
      <w:sz w:val="24"/>
    </w:rPr>
  </w:style>
  <w:style w:type="paragraph" w:customStyle="1" w:styleId="210">
    <w:name w:val="Основной текст 21"/>
    <w:basedOn w:val="Normal"/>
    <w:uiPriority w:val="99"/>
    <w:rsid w:val="00B05F5B"/>
    <w:pPr>
      <w:overflowPunct w:val="0"/>
      <w:autoSpaceDE w:val="0"/>
      <w:autoSpaceDN w:val="0"/>
      <w:adjustRightInd w:val="0"/>
      <w:spacing w:after="120"/>
      <w:ind w:left="283" w:firstLine="720"/>
      <w:jc w:val="both"/>
      <w:textAlignment w:val="baseline"/>
    </w:pPr>
    <w:rPr>
      <w:b w:val="0"/>
      <w:bCs w:val="0"/>
      <w:color w:val="auto"/>
      <w:sz w:val="28"/>
    </w:rPr>
  </w:style>
  <w:style w:type="character" w:customStyle="1" w:styleId="hl">
    <w:name w:val="hl"/>
    <w:basedOn w:val="DefaultParagraphFont"/>
    <w:uiPriority w:val="99"/>
    <w:rsid w:val="00B05F5B"/>
    <w:rPr>
      <w:rFonts w:cs="Times New Roman"/>
      <w:b/>
      <w:bCs/>
      <w:color w:val="000080"/>
    </w:rPr>
  </w:style>
  <w:style w:type="paragraph" w:styleId="HTMLPreformatted">
    <w:name w:val="HTML Preformatted"/>
    <w:basedOn w:val="Normal"/>
    <w:link w:val="HTMLPreformattedChar"/>
    <w:uiPriority w:val="99"/>
    <w:rsid w:val="00B05F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PMingLiU" w:hAnsi="Courier New" w:cs="Courier New"/>
      <w:b w:val="0"/>
      <w:bCs w:val="0"/>
      <w:color w:val="auto"/>
      <w:lang w:eastAsia="zh-TW"/>
    </w:rPr>
  </w:style>
  <w:style w:type="character" w:customStyle="1" w:styleId="HTMLPreformattedChar">
    <w:name w:val="HTML Preformatted Char"/>
    <w:basedOn w:val="DefaultParagraphFont"/>
    <w:link w:val="HTMLPreformatted"/>
    <w:uiPriority w:val="99"/>
    <w:locked/>
    <w:rsid w:val="00700AD4"/>
    <w:rPr>
      <w:rFonts w:ascii="Courier New" w:eastAsia="PMingLiU" w:hAnsi="Courier New" w:cs="Courier New"/>
      <w:lang w:val="ru-RU" w:eastAsia="zh-TW" w:bidi="ar-SA"/>
    </w:rPr>
  </w:style>
  <w:style w:type="character" w:styleId="Hyperlink">
    <w:name w:val="Hyperlink"/>
    <w:basedOn w:val="DefaultParagraphFont"/>
    <w:uiPriority w:val="99"/>
    <w:rsid w:val="00EA16DA"/>
    <w:rPr>
      <w:rFonts w:cs="Times New Roman"/>
      <w:color w:val="666699"/>
      <w:u w:val="none"/>
      <w:effect w:val="none"/>
    </w:rPr>
  </w:style>
  <w:style w:type="paragraph" w:customStyle="1" w:styleId="u">
    <w:name w:val="u"/>
    <w:basedOn w:val="Normal"/>
    <w:uiPriority w:val="99"/>
    <w:rsid w:val="00EA16DA"/>
    <w:pPr>
      <w:ind w:firstLine="284"/>
      <w:jc w:val="both"/>
    </w:pPr>
    <w:rPr>
      <w:b w:val="0"/>
      <w:bCs w:val="0"/>
      <w:sz w:val="24"/>
      <w:szCs w:val="24"/>
    </w:rPr>
  </w:style>
  <w:style w:type="paragraph" w:customStyle="1" w:styleId="unip">
    <w:name w:val="unip"/>
    <w:basedOn w:val="Normal"/>
    <w:uiPriority w:val="99"/>
    <w:rsid w:val="00EA16DA"/>
    <w:pPr>
      <w:jc w:val="both"/>
    </w:pPr>
    <w:rPr>
      <w:b w:val="0"/>
      <w:bCs w:val="0"/>
      <w:sz w:val="24"/>
      <w:szCs w:val="24"/>
    </w:rPr>
  </w:style>
  <w:style w:type="paragraph" w:customStyle="1" w:styleId="uni">
    <w:name w:val="uni"/>
    <w:basedOn w:val="Normal"/>
    <w:uiPriority w:val="99"/>
    <w:rsid w:val="00EA16DA"/>
    <w:pPr>
      <w:spacing w:before="100" w:beforeAutospacing="1" w:after="100" w:afterAutospacing="1"/>
      <w:jc w:val="both"/>
    </w:pPr>
    <w:rPr>
      <w:b w:val="0"/>
      <w:bCs w:val="0"/>
      <w:sz w:val="24"/>
      <w:szCs w:val="24"/>
    </w:rPr>
  </w:style>
  <w:style w:type="paragraph" w:styleId="DocumentMap">
    <w:name w:val="Document Map"/>
    <w:basedOn w:val="Normal"/>
    <w:link w:val="DocumentMapChar"/>
    <w:uiPriority w:val="99"/>
    <w:rsid w:val="00EC39B1"/>
    <w:rPr>
      <w:rFonts w:ascii="Tahoma" w:hAnsi="Tahoma" w:cs="Tahoma"/>
      <w:sz w:val="16"/>
      <w:szCs w:val="16"/>
    </w:rPr>
  </w:style>
  <w:style w:type="character" w:customStyle="1" w:styleId="DocumentMapChar">
    <w:name w:val="Document Map Char"/>
    <w:basedOn w:val="DefaultParagraphFont"/>
    <w:link w:val="DocumentMap"/>
    <w:uiPriority w:val="99"/>
    <w:locked/>
    <w:rsid w:val="00EC39B1"/>
    <w:rPr>
      <w:rFonts w:ascii="Tahoma" w:hAnsi="Tahoma" w:cs="Tahoma"/>
      <w:b/>
      <w:bCs/>
      <w:color w:val="000000"/>
      <w:sz w:val="16"/>
      <w:szCs w:val="16"/>
    </w:rPr>
  </w:style>
  <w:style w:type="paragraph" w:customStyle="1" w:styleId="point">
    <w:name w:val="point"/>
    <w:basedOn w:val="Normal"/>
    <w:uiPriority w:val="99"/>
    <w:rsid w:val="00562F7C"/>
    <w:pPr>
      <w:spacing w:before="100" w:beforeAutospacing="1" w:after="100" w:afterAutospacing="1"/>
    </w:pPr>
    <w:rPr>
      <w:b w:val="0"/>
      <w:bCs w:val="0"/>
      <w:color w:val="auto"/>
      <w:sz w:val="24"/>
      <w:szCs w:val="24"/>
    </w:rPr>
  </w:style>
  <w:style w:type="paragraph" w:customStyle="1" w:styleId="a0">
    <w:name w:val="Текст приказа"/>
    <w:basedOn w:val="Normal"/>
    <w:uiPriority w:val="99"/>
    <w:rsid w:val="00C07607"/>
    <w:pPr>
      <w:ind w:firstLine="720"/>
    </w:pPr>
    <w:rPr>
      <w:b w:val="0"/>
      <w:bCs w:val="0"/>
      <w:sz w:val="24"/>
    </w:rPr>
  </w:style>
  <w:style w:type="paragraph" w:customStyle="1" w:styleId="a1">
    <w:name w:val="Знак Знак Знак Знак Знак Знак Знак"/>
    <w:basedOn w:val="Normal"/>
    <w:autoRedefine/>
    <w:uiPriority w:val="99"/>
    <w:rsid w:val="00972A5F"/>
    <w:pPr>
      <w:jc w:val="both"/>
    </w:pPr>
    <w:rPr>
      <w:rFonts w:cs="Verdana"/>
      <w:b w:val="0"/>
      <w:bCs w:val="0"/>
      <w:color w:val="auto"/>
      <w:sz w:val="24"/>
      <w:lang w:val="en-US" w:eastAsia="en-US"/>
    </w:rPr>
  </w:style>
  <w:style w:type="paragraph" w:customStyle="1" w:styleId="2">
    <w:name w:val="Знак2 Знак Знак Знак"/>
    <w:basedOn w:val="Normal"/>
    <w:uiPriority w:val="99"/>
    <w:rsid w:val="001D0B0C"/>
    <w:rPr>
      <w:rFonts w:ascii="Verdana" w:hAnsi="Verdana" w:cs="Verdana"/>
      <w:b w:val="0"/>
      <w:bCs w:val="0"/>
      <w:color w:val="auto"/>
      <w:lang w:val="en-US" w:eastAsia="en-US"/>
    </w:rPr>
  </w:style>
</w:styles>
</file>

<file path=word/webSettings.xml><?xml version="1.0" encoding="utf-8"?>
<w:webSettings xmlns:r="http://schemas.openxmlformats.org/officeDocument/2006/relationships" xmlns:w="http://schemas.openxmlformats.org/wordprocessingml/2006/main">
  <w:divs>
    <w:div w:id="1783959598">
      <w:marLeft w:val="0"/>
      <w:marRight w:val="0"/>
      <w:marTop w:val="0"/>
      <w:marBottom w:val="0"/>
      <w:divBdr>
        <w:top w:val="none" w:sz="0" w:space="0" w:color="auto"/>
        <w:left w:val="none" w:sz="0" w:space="0" w:color="auto"/>
        <w:bottom w:val="none" w:sz="0" w:space="0" w:color="auto"/>
        <w:right w:val="none" w:sz="0" w:space="0" w:color="auto"/>
      </w:divBdr>
    </w:div>
    <w:div w:id="1783959599">
      <w:marLeft w:val="0"/>
      <w:marRight w:val="0"/>
      <w:marTop w:val="0"/>
      <w:marBottom w:val="0"/>
      <w:divBdr>
        <w:top w:val="none" w:sz="0" w:space="0" w:color="auto"/>
        <w:left w:val="none" w:sz="0" w:space="0" w:color="auto"/>
        <w:bottom w:val="none" w:sz="0" w:space="0" w:color="auto"/>
        <w:right w:val="none" w:sz="0" w:space="0" w:color="auto"/>
      </w:divBdr>
      <w:divsChild>
        <w:div w:id="1783959614">
          <w:marLeft w:val="0"/>
          <w:marRight w:val="0"/>
          <w:marTop w:val="0"/>
          <w:marBottom w:val="0"/>
          <w:divBdr>
            <w:top w:val="none" w:sz="0" w:space="0" w:color="auto"/>
            <w:left w:val="none" w:sz="0" w:space="0" w:color="auto"/>
            <w:bottom w:val="none" w:sz="0" w:space="0" w:color="auto"/>
            <w:right w:val="none" w:sz="0" w:space="0" w:color="auto"/>
          </w:divBdr>
          <w:divsChild>
            <w:div w:id="1783959602">
              <w:marLeft w:val="0"/>
              <w:marRight w:val="0"/>
              <w:marTop w:val="0"/>
              <w:marBottom w:val="0"/>
              <w:divBdr>
                <w:top w:val="none" w:sz="0" w:space="0" w:color="auto"/>
                <w:left w:val="none" w:sz="0" w:space="0" w:color="auto"/>
                <w:bottom w:val="none" w:sz="0" w:space="0" w:color="auto"/>
                <w:right w:val="none" w:sz="0" w:space="0" w:color="auto"/>
              </w:divBdr>
              <w:divsChild>
                <w:div w:id="1783959609">
                  <w:marLeft w:val="0"/>
                  <w:marRight w:val="0"/>
                  <w:marTop w:val="0"/>
                  <w:marBottom w:val="0"/>
                  <w:divBdr>
                    <w:top w:val="none" w:sz="0" w:space="0" w:color="auto"/>
                    <w:left w:val="none" w:sz="0" w:space="0" w:color="auto"/>
                    <w:bottom w:val="none" w:sz="0" w:space="0" w:color="auto"/>
                    <w:right w:val="none" w:sz="0" w:space="0" w:color="auto"/>
                  </w:divBdr>
                  <w:divsChild>
                    <w:div w:id="1783959613">
                      <w:marLeft w:val="0"/>
                      <w:marRight w:val="0"/>
                      <w:marTop w:val="0"/>
                      <w:marBottom w:val="0"/>
                      <w:divBdr>
                        <w:top w:val="none" w:sz="0" w:space="0" w:color="auto"/>
                        <w:left w:val="none" w:sz="0" w:space="0" w:color="auto"/>
                        <w:bottom w:val="none" w:sz="0" w:space="0" w:color="auto"/>
                        <w:right w:val="none" w:sz="0" w:space="0" w:color="auto"/>
                      </w:divBdr>
                      <w:divsChild>
                        <w:div w:id="1783959611">
                          <w:marLeft w:val="-4725"/>
                          <w:marRight w:val="0"/>
                          <w:marTop w:val="0"/>
                          <w:marBottom w:val="0"/>
                          <w:divBdr>
                            <w:top w:val="none" w:sz="0" w:space="0" w:color="auto"/>
                            <w:left w:val="none" w:sz="0" w:space="0" w:color="auto"/>
                            <w:bottom w:val="none" w:sz="0" w:space="0" w:color="auto"/>
                            <w:right w:val="none" w:sz="0" w:space="0" w:color="auto"/>
                          </w:divBdr>
                          <w:divsChild>
                            <w:div w:id="1783959607">
                              <w:marLeft w:val="4725"/>
                              <w:marRight w:val="51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3959600">
      <w:marLeft w:val="0"/>
      <w:marRight w:val="0"/>
      <w:marTop w:val="0"/>
      <w:marBottom w:val="0"/>
      <w:divBdr>
        <w:top w:val="none" w:sz="0" w:space="0" w:color="auto"/>
        <w:left w:val="none" w:sz="0" w:space="0" w:color="auto"/>
        <w:bottom w:val="none" w:sz="0" w:space="0" w:color="auto"/>
        <w:right w:val="none" w:sz="0" w:space="0" w:color="auto"/>
      </w:divBdr>
    </w:div>
    <w:div w:id="1783959601">
      <w:marLeft w:val="0"/>
      <w:marRight w:val="0"/>
      <w:marTop w:val="0"/>
      <w:marBottom w:val="0"/>
      <w:divBdr>
        <w:top w:val="none" w:sz="0" w:space="0" w:color="auto"/>
        <w:left w:val="none" w:sz="0" w:space="0" w:color="auto"/>
        <w:bottom w:val="none" w:sz="0" w:space="0" w:color="auto"/>
        <w:right w:val="none" w:sz="0" w:space="0" w:color="auto"/>
      </w:divBdr>
    </w:div>
    <w:div w:id="1783959603">
      <w:marLeft w:val="0"/>
      <w:marRight w:val="0"/>
      <w:marTop w:val="0"/>
      <w:marBottom w:val="0"/>
      <w:divBdr>
        <w:top w:val="none" w:sz="0" w:space="0" w:color="auto"/>
        <w:left w:val="none" w:sz="0" w:space="0" w:color="auto"/>
        <w:bottom w:val="none" w:sz="0" w:space="0" w:color="auto"/>
        <w:right w:val="none" w:sz="0" w:space="0" w:color="auto"/>
      </w:divBdr>
    </w:div>
    <w:div w:id="1783959604">
      <w:marLeft w:val="0"/>
      <w:marRight w:val="0"/>
      <w:marTop w:val="0"/>
      <w:marBottom w:val="0"/>
      <w:divBdr>
        <w:top w:val="none" w:sz="0" w:space="0" w:color="auto"/>
        <w:left w:val="none" w:sz="0" w:space="0" w:color="auto"/>
        <w:bottom w:val="none" w:sz="0" w:space="0" w:color="auto"/>
        <w:right w:val="none" w:sz="0" w:space="0" w:color="auto"/>
      </w:divBdr>
    </w:div>
    <w:div w:id="1783959605">
      <w:marLeft w:val="0"/>
      <w:marRight w:val="0"/>
      <w:marTop w:val="0"/>
      <w:marBottom w:val="0"/>
      <w:divBdr>
        <w:top w:val="none" w:sz="0" w:space="0" w:color="auto"/>
        <w:left w:val="none" w:sz="0" w:space="0" w:color="auto"/>
        <w:bottom w:val="none" w:sz="0" w:space="0" w:color="auto"/>
        <w:right w:val="none" w:sz="0" w:space="0" w:color="auto"/>
      </w:divBdr>
    </w:div>
    <w:div w:id="1783959606">
      <w:marLeft w:val="0"/>
      <w:marRight w:val="0"/>
      <w:marTop w:val="0"/>
      <w:marBottom w:val="0"/>
      <w:divBdr>
        <w:top w:val="none" w:sz="0" w:space="0" w:color="auto"/>
        <w:left w:val="none" w:sz="0" w:space="0" w:color="auto"/>
        <w:bottom w:val="none" w:sz="0" w:space="0" w:color="auto"/>
        <w:right w:val="none" w:sz="0" w:space="0" w:color="auto"/>
      </w:divBdr>
    </w:div>
    <w:div w:id="1783959608">
      <w:marLeft w:val="0"/>
      <w:marRight w:val="0"/>
      <w:marTop w:val="0"/>
      <w:marBottom w:val="0"/>
      <w:divBdr>
        <w:top w:val="none" w:sz="0" w:space="0" w:color="auto"/>
        <w:left w:val="none" w:sz="0" w:space="0" w:color="auto"/>
        <w:bottom w:val="none" w:sz="0" w:space="0" w:color="auto"/>
        <w:right w:val="none" w:sz="0" w:space="0" w:color="auto"/>
      </w:divBdr>
    </w:div>
    <w:div w:id="1783959610">
      <w:marLeft w:val="0"/>
      <w:marRight w:val="0"/>
      <w:marTop w:val="0"/>
      <w:marBottom w:val="0"/>
      <w:divBdr>
        <w:top w:val="none" w:sz="0" w:space="0" w:color="auto"/>
        <w:left w:val="none" w:sz="0" w:space="0" w:color="auto"/>
        <w:bottom w:val="none" w:sz="0" w:space="0" w:color="auto"/>
        <w:right w:val="none" w:sz="0" w:space="0" w:color="auto"/>
      </w:divBdr>
    </w:div>
    <w:div w:id="17839596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4</Pages>
  <Words>1399</Words>
  <Characters>7975</Characters>
  <Application>Microsoft Office Outlook</Application>
  <DocSecurity>0</DocSecurity>
  <Lines>0</Lines>
  <Paragraphs>0</Paragraphs>
  <ScaleCrop>false</ScaleCrop>
  <Company>ГНС ПМР</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 Р О Е К Т</dc:title>
  <dc:subject/>
  <dc:creator>ur4</dc:creator>
  <cp:keywords/>
  <dc:description/>
  <cp:lastModifiedBy>201k2-2</cp:lastModifiedBy>
  <cp:revision>7</cp:revision>
  <cp:lastPrinted>2014-06-30T07:13:00Z</cp:lastPrinted>
  <dcterms:created xsi:type="dcterms:W3CDTF">2014-06-25T05:11:00Z</dcterms:created>
  <dcterms:modified xsi:type="dcterms:W3CDTF">2014-07-23T05:55:00Z</dcterms:modified>
</cp:coreProperties>
</file>