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E8" w:rsidRPr="00D36150" w:rsidRDefault="00C86DE8" w:rsidP="007B384C">
      <w:pPr>
        <w:ind w:left="0"/>
        <w:jc w:val="center"/>
        <w:rPr>
          <w:rFonts w:ascii="Times New Roman" w:hAnsi="Times New Roman" w:cs="Times New Roman"/>
          <w:b/>
          <w:sz w:val="28"/>
          <w:szCs w:val="28"/>
        </w:rPr>
      </w:pPr>
      <w:bookmarkStart w:id="0" w:name="_GoBack"/>
      <w:bookmarkEnd w:id="0"/>
      <w:r w:rsidRPr="00D36150">
        <w:rPr>
          <w:rFonts w:ascii="Times New Roman" w:hAnsi="Times New Roman" w:cs="Times New Roman"/>
          <w:b/>
          <w:sz w:val="28"/>
          <w:szCs w:val="28"/>
        </w:rPr>
        <w:t>Сравнительная таблица</w:t>
      </w:r>
    </w:p>
    <w:p w:rsidR="00786155" w:rsidRPr="00B57BBE" w:rsidRDefault="00786155" w:rsidP="00B57BBE">
      <w:pPr>
        <w:jc w:val="center"/>
        <w:rPr>
          <w:rFonts w:ascii="Times New Roman" w:hAnsi="Times New Roman" w:cs="Times New Roman"/>
          <w:b/>
          <w:sz w:val="28"/>
          <w:szCs w:val="28"/>
        </w:rPr>
      </w:pPr>
      <w:r w:rsidRPr="00B57BBE">
        <w:rPr>
          <w:rFonts w:ascii="Times New Roman" w:hAnsi="Times New Roman" w:cs="Times New Roman"/>
          <w:b/>
          <w:sz w:val="28"/>
          <w:szCs w:val="28"/>
        </w:rPr>
        <w:t>к проекту закона Приднестровской Молдавской Республики «О внесении изменений и дополнений в Закон ПМР «Об акционерных обществах»</w:t>
      </w:r>
    </w:p>
    <w:tbl>
      <w:tblPr>
        <w:tblStyle w:val="a6"/>
        <w:tblpPr w:leftFromText="180" w:rightFromText="180" w:vertAnchor="text" w:tblpX="227" w:tblpY="1"/>
        <w:tblOverlap w:val="never"/>
        <w:tblW w:w="0" w:type="auto"/>
        <w:tblLook w:val="04A0" w:firstRow="1" w:lastRow="0" w:firstColumn="1" w:lastColumn="0" w:noHBand="0" w:noVBand="1"/>
      </w:tblPr>
      <w:tblGrid>
        <w:gridCol w:w="4899"/>
        <w:gridCol w:w="4899"/>
      </w:tblGrid>
      <w:tr w:rsidR="005E26E1" w:rsidRPr="00FC23DC" w:rsidTr="002A3300">
        <w:tc>
          <w:tcPr>
            <w:tcW w:w="4899" w:type="dxa"/>
          </w:tcPr>
          <w:p w:rsidR="005E26E1" w:rsidRPr="00FC23DC" w:rsidRDefault="005E26E1" w:rsidP="00920287">
            <w:pPr>
              <w:ind w:left="29" w:firstLine="284"/>
              <w:rPr>
                <w:rFonts w:ascii="Times New Roman" w:hAnsi="Times New Roman" w:cs="Times New Roman"/>
                <w:b/>
                <w:sz w:val="28"/>
                <w:szCs w:val="28"/>
              </w:rPr>
            </w:pPr>
            <w:r w:rsidRPr="00FC23DC">
              <w:rPr>
                <w:rFonts w:ascii="Times New Roman" w:hAnsi="Times New Roman" w:cs="Times New Roman"/>
                <w:b/>
                <w:sz w:val="28"/>
                <w:szCs w:val="28"/>
              </w:rPr>
              <w:t>Действующая редакция</w:t>
            </w:r>
          </w:p>
        </w:tc>
        <w:tc>
          <w:tcPr>
            <w:tcW w:w="4899" w:type="dxa"/>
          </w:tcPr>
          <w:p w:rsidR="005E26E1" w:rsidRPr="00FC23DC" w:rsidRDefault="005E26E1" w:rsidP="00920287">
            <w:pPr>
              <w:ind w:left="29" w:firstLine="284"/>
              <w:rPr>
                <w:rFonts w:ascii="Times New Roman" w:hAnsi="Times New Roman" w:cs="Times New Roman"/>
                <w:b/>
                <w:sz w:val="28"/>
                <w:szCs w:val="28"/>
              </w:rPr>
            </w:pPr>
            <w:r w:rsidRPr="00FC23DC">
              <w:rPr>
                <w:rFonts w:ascii="Times New Roman" w:hAnsi="Times New Roman" w:cs="Times New Roman"/>
                <w:b/>
                <w:sz w:val="28"/>
                <w:szCs w:val="28"/>
              </w:rPr>
              <w:t>Предлагаемая редакция</w:t>
            </w:r>
          </w:p>
        </w:tc>
      </w:tr>
      <w:tr w:rsidR="005E26E1" w:rsidRPr="00FC23DC" w:rsidTr="002A3300">
        <w:tc>
          <w:tcPr>
            <w:tcW w:w="4899" w:type="dxa"/>
          </w:tcPr>
          <w:p w:rsidR="005E26E1" w:rsidRDefault="005E26E1" w:rsidP="00AC6A8E">
            <w:pPr>
              <w:ind w:left="0" w:firstLine="313"/>
              <w:outlineLvl w:val="0"/>
              <w:rPr>
                <w:rFonts w:ascii="Times New Roman" w:eastAsia="Times New Roman" w:hAnsi="Times New Roman" w:cs="Times New Roman"/>
                <w:sz w:val="28"/>
                <w:szCs w:val="28"/>
              </w:rPr>
            </w:pPr>
            <w:r w:rsidRPr="00FC23DC">
              <w:rPr>
                <w:rFonts w:ascii="Times New Roman" w:eastAsia="Times New Roman" w:hAnsi="Times New Roman" w:cs="Times New Roman"/>
                <w:b/>
                <w:sz w:val="28"/>
                <w:szCs w:val="28"/>
              </w:rPr>
              <w:t>Статья 52.</w:t>
            </w:r>
            <w:r w:rsidRPr="00FC23DC">
              <w:rPr>
                <w:rFonts w:ascii="Times New Roman" w:eastAsia="Times New Roman" w:hAnsi="Times New Roman" w:cs="Times New Roman"/>
                <w:sz w:val="28"/>
                <w:szCs w:val="28"/>
              </w:rPr>
              <w:t xml:space="preserve"> Право на участие в общем собрании акционеров</w:t>
            </w:r>
          </w:p>
          <w:p w:rsidR="00EF507A" w:rsidRPr="00FC23DC" w:rsidRDefault="00EF507A" w:rsidP="00AC6A8E">
            <w:pPr>
              <w:ind w:left="0" w:firstLine="313"/>
              <w:outlineLvl w:val="0"/>
              <w:rPr>
                <w:rFonts w:ascii="Times New Roman" w:eastAsia="Times New Roman" w:hAnsi="Times New Roman" w:cs="Times New Roman"/>
                <w:sz w:val="28"/>
                <w:szCs w:val="28"/>
              </w:rPr>
            </w:pPr>
          </w:p>
          <w:p w:rsidR="005E26E1" w:rsidRPr="00FC23DC" w:rsidRDefault="005E26E1" w:rsidP="00AC6A8E">
            <w:pPr>
              <w:ind w:left="0" w:firstLine="313"/>
              <w:rPr>
                <w:rFonts w:ascii="Times New Roman" w:eastAsia="Times New Roman" w:hAnsi="Times New Roman" w:cs="Times New Roman"/>
                <w:sz w:val="28"/>
                <w:szCs w:val="28"/>
              </w:rPr>
            </w:pPr>
            <w:r w:rsidRPr="00FC23DC">
              <w:rPr>
                <w:rFonts w:ascii="Times New Roman" w:eastAsia="Times New Roman" w:hAnsi="Times New Roman" w:cs="Times New Roman"/>
                <w:sz w:val="28"/>
                <w:szCs w:val="28"/>
              </w:rPr>
              <w:t>3. 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адрес, по которому должны направляться сообщения о проведении общего собрания акционеров, бюллетени для голосования в случае если форма общего собрания предполагает заочное голосование и отчет об итогах голосования.</w:t>
            </w:r>
          </w:p>
        </w:tc>
        <w:tc>
          <w:tcPr>
            <w:tcW w:w="4899" w:type="dxa"/>
          </w:tcPr>
          <w:p w:rsidR="005E26E1" w:rsidRDefault="005E26E1" w:rsidP="00AC6A8E">
            <w:pPr>
              <w:ind w:left="0" w:firstLine="375"/>
              <w:outlineLvl w:val="0"/>
              <w:rPr>
                <w:rFonts w:ascii="Times New Roman" w:eastAsia="Times New Roman" w:hAnsi="Times New Roman" w:cs="Times New Roman"/>
                <w:sz w:val="28"/>
                <w:szCs w:val="28"/>
              </w:rPr>
            </w:pPr>
            <w:r w:rsidRPr="00FC23DC">
              <w:rPr>
                <w:rFonts w:ascii="Times New Roman" w:eastAsia="Times New Roman" w:hAnsi="Times New Roman" w:cs="Times New Roman"/>
                <w:b/>
                <w:sz w:val="28"/>
                <w:szCs w:val="28"/>
              </w:rPr>
              <w:t>Статья 52.</w:t>
            </w:r>
            <w:r w:rsidRPr="00FC23DC">
              <w:rPr>
                <w:rFonts w:ascii="Times New Roman" w:eastAsia="Times New Roman" w:hAnsi="Times New Roman" w:cs="Times New Roman"/>
                <w:sz w:val="28"/>
                <w:szCs w:val="28"/>
              </w:rPr>
              <w:t xml:space="preserve"> Право на участие в общем собрании акционеров</w:t>
            </w:r>
          </w:p>
          <w:p w:rsidR="00EF507A" w:rsidRPr="00FC23DC" w:rsidRDefault="00EF507A" w:rsidP="00AC6A8E">
            <w:pPr>
              <w:ind w:left="0" w:firstLine="375"/>
              <w:outlineLvl w:val="0"/>
              <w:rPr>
                <w:rFonts w:ascii="Times New Roman" w:eastAsia="Times New Roman" w:hAnsi="Times New Roman" w:cs="Times New Roman"/>
                <w:sz w:val="28"/>
                <w:szCs w:val="28"/>
              </w:rPr>
            </w:pPr>
          </w:p>
          <w:p w:rsidR="005E26E1" w:rsidRPr="00FC23DC" w:rsidRDefault="005E26E1" w:rsidP="00AC6A8E">
            <w:pPr>
              <w:ind w:left="0" w:firstLine="375"/>
              <w:rPr>
                <w:rFonts w:ascii="Times New Roman" w:eastAsia="Times New Roman" w:hAnsi="Times New Roman" w:cs="Times New Roman"/>
                <w:sz w:val="28"/>
                <w:szCs w:val="28"/>
              </w:rPr>
            </w:pPr>
            <w:r w:rsidRPr="00FC23DC">
              <w:rPr>
                <w:rFonts w:ascii="Times New Roman" w:eastAsia="Times New Roman" w:hAnsi="Times New Roman" w:cs="Times New Roman"/>
                <w:sz w:val="28"/>
                <w:szCs w:val="28"/>
              </w:rPr>
              <w:t xml:space="preserve">3. 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адрес, по которому должны направляться сообщения о проведении общего собрания акционеров, бюллетени для голосования в случае если форма общего собрания предполагает заочное голосование </w:t>
            </w:r>
            <w:r w:rsidRPr="00AE3E86">
              <w:rPr>
                <w:rFonts w:ascii="Times New Roman" w:eastAsia="Times New Roman" w:hAnsi="Times New Roman" w:cs="Times New Roman"/>
                <w:b/>
                <w:sz w:val="28"/>
                <w:szCs w:val="28"/>
              </w:rPr>
              <w:t>или голосование бюллетенями на собрании, которое проводится с посредством использования информационно-телекоммуникационных сетей общего пользования, в том числе глобальной сети Интернет</w:t>
            </w:r>
            <w:r w:rsidRPr="00FC23DC">
              <w:rPr>
                <w:rFonts w:ascii="Times New Roman" w:eastAsia="Times New Roman" w:hAnsi="Times New Roman" w:cs="Times New Roman"/>
                <w:sz w:val="28"/>
                <w:szCs w:val="28"/>
              </w:rPr>
              <w:t xml:space="preserve"> и отчет об итогах голосования. </w:t>
            </w:r>
          </w:p>
        </w:tc>
      </w:tr>
      <w:tr w:rsidR="005E26E1" w:rsidRPr="00FC23DC" w:rsidTr="002A3300">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Статья 53. Информация о проведении общего собрания акционеров</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2. В сообщении о проведении общего собрания акционеров должны быть указаны:</w:t>
            </w:r>
          </w:p>
          <w:p w:rsidR="005E26E1" w:rsidRPr="00FC23DC" w:rsidRDefault="005E26E1" w:rsidP="00920287">
            <w:pPr>
              <w:ind w:left="0" w:firstLine="284"/>
              <w:rPr>
                <w:rFonts w:ascii="Times New Roman" w:eastAsia="Times New Roman" w:hAnsi="Times New Roman" w:cs="Times New Roman"/>
                <w:b/>
                <w:sz w:val="28"/>
                <w:szCs w:val="28"/>
                <w:u w:val="single"/>
              </w:rPr>
            </w:pPr>
            <w:r w:rsidRPr="00FC23DC">
              <w:rPr>
                <w:rFonts w:ascii="Times New Roman" w:eastAsia="Times New Roman" w:hAnsi="Times New Roman" w:cs="Times New Roman"/>
                <w:sz w:val="28"/>
                <w:szCs w:val="28"/>
              </w:rPr>
              <w:t xml:space="preserve">б) форма проведения общего собрания акционеров </w:t>
            </w:r>
            <w:r w:rsidRPr="00FC23DC">
              <w:rPr>
                <w:rFonts w:ascii="Times New Roman" w:eastAsia="Times New Roman" w:hAnsi="Times New Roman" w:cs="Times New Roman"/>
                <w:b/>
                <w:sz w:val="28"/>
                <w:szCs w:val="28"/>
                <w:u w:val="single"/>
              </w:rPr>
              <w:t>(собрание или заочное голосование);</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2A3300" w:rsidRDefault="002A3300"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в) дата, место, время проведения общего собрания акционеров и в </w:t>
            </w:r>
            <w:r w:rsidRPr="00FC23DC">
              <w:rPr>
                <w:rFonts w:ascii="Times New Roman" w:hAnsi="Times New Roman" w:cs="Times New Roman"/>
                <w:sz w:val="28"/>
                <w:szCs w:val="28"/>
              </w:rPr>
              <w:lastRenderedPageBreak/>
              <w:t>случае, когда в соответствии с пунктом 3 статьи 61 настоящего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 дата окончания приема бюллетеней для голосования и почтовый адрес, по которому должны направляться заполненные бюллетени;</w:t>
            </w:r>
          </w:p>
        </w:tc>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Статья 53. Информация о проведении общего собрания акционеров</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2. В сообщении о проведении общего собрания акционеров должны быть указаны:</w:t>
            </w:r>
          </w:p>
          <w:p w:rsidR="005E26E1" w:rsidRPr="00FC23DC" w:rsidRDefault="005E26E1" w:rsidP="00920287">
            <w:pPr>
              <w:ind w:left="0" w:firstLine="720"/>
              <w:rPr>
                <w:rFonts w:ascii="Times New Roman" w:eastAsia="Times New Roman" w:hAnsi="Times New Roman" w:cs="Times New Roman"/>
                <w:sz w:val="28"/>
                <w:szCs w:val="28"/>
              </w:rPr>
            </w:pPr>
            <w:r w:rsidRPr="00FC23DC">
              <w:rPr>
                <w:rFonts w:ascii="Times New Roman" w:eastAsia="Times New Roman" w:hAnsi="Times New Roman" w:cs="Times New Roman"/>
                <w:sz w:val="28"/>
                <w:szCs w:val="28"/>
              </w:rPr>
              <w:t>б) форма проведения общего собрания акционеров (</w:t>
            </w:r>
            <w:r w:rsidR="00786E58" w:rsidRPr="00B2736D">
              <w:rPr>
                <w:rFonts w:ascii="Times New Roman" w:eastAsia="Times New Roman" w:hAnsi="Times New Roman" w:cs="Times New Roman"/>
                <w:sz w:val="28"/>
                <w:szCs w:val="28"/>
              </w:rPr>
              <w:t>собрание,</w:t>
            </w:r>
            <w:r w:rsidRPr="00B2736D">
              <w:rPr>
                <w:rFonts w:ascii="Times New Roman" w:eastAsia="Times New Roman" w:hAnsi="Times New Roman" w:cs="Times New Roman"/>
                <w:b/>
                <w:sz w:val="28"/>
                <w:szCs w:val="28"/>
                <w:u w:val="single"/>
              </w:rPr>
              <w:t xml:space="preserve"> </w:t>
            </w:r>
            <w:r w:rsidRPr="00CB4967">
              <w:rPr>
                <w:rFonts w:ascii="Times New Roman" w:eastAsia="Times New Roman" w:hAnsi="Times New Roman" w:cs="Times New Roman"/>
                <w:b/>
                <w:sz w:val="28"/>
                <w:szCs w:val="28"/>
              </w:rPr>
              <w:t>собрание, проведенное посредством использования информационно-телекоммуникационных сетей общего пользования, в том числе глобальной сети Интернет</w:t>
            </w:r>
            <w:r w:rsidR="00B2736D" w:rsidRPr="00CB4967">
              <w:rPr>
                <w:rFonts w:ascii="Times New Roman" w:eastAsia="Times New Roman" w:hAnsi="Times New Roman" w:cs="Times New Roman"/>
                <w:b/>
                <w:sz w:val="28"/>
                <w:szCs w:val="28"/>
              </w:rPr>
              <w:t>,</w:t>
            </w:r>
            <w:r w:rsidRPr="00FC23DC">
              <w:rPr>
                <w:rFonts w:ascii="Times New Roman" w:eastAsia="Times New Roman" w:hAnsi="Times New Roman" w:cs="Times New Roman"/>
                <w:sz w:val="28"/>
                <w:szCs w:val="28"/>
              </w:rPr>
              <w:t xml:space="preserve"> заочное голосование);</w:t>
            </w:r>
          </w:p>
          <w:p w:rsidR="005E26E1" w:rsidRPr="00FC23DC" w:rsidRDefault="005E26E1" w:rsidP="00154295">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в) дата, место </w:t>
            </w:r>
            <w:r w:rsidRPr="00CB4967">
              <w:rPr>
                <w:rFonts w:ascii="Times New Roman" w:hAnsi="Times New Roman" w:cs="Times New Roman"/>
                <w:b/>
                <w:sz w:val="28"/>
                <w:szCs w:val="28"/>
              </w:rPr>
              <w:t>и (или) способ коммуникации</w:t>
            </w:r>
            <w:r w:rsidRPr="00CB4967">
              <w:rPr>
                <w:rFonts w:ascii="Times New Roman" w:hAnsi="Times New Roman" w:cs="Times New Roman"/>
                <w:sz w:val="28"/>
                <w:szCs w:val="28"/>
              </w:rPr>
              <w:t>,</w:t>
            </w:r>
            <w:r w:rsidRPr="00FC23DC">
              <w:rPr>
                <w:rFonts w:ascii="Times New Roman" w:hAnsi="Times New Roman" w:cs="Times New Roman"/>
                <w:sz w:val="28"/>
                <w:szCs w:val="28"/>
              </w:rPr>
              <w:t xml:space="preserve"> время проведения общего собрания акционеров и в </w:t>
            </w:r>
            <w:r w:rsidRPr="00FC23DC">
              <w:rPr>
                <w:rFonts w:ascii="Times New Roman" w:hAnsi="Times New Roman" w:cs="Times New Roman"/>
                <w:sz w:val="28"/>
                <w:szCs w:val="28"/>
              </w:rPr>
              <w:lastRenderedPageBreak/>
              <w:t>случае, когда в соответствии с пунктом 3 статьи 61 настоящего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 дата окончания приема бюллетеней для голосования и почтовый адрес, по которому должны направляться заполненные бюллетени;</w:t>
            </w:r>
          </w:p>
        </w:tc>
      </w:tr>
      <w:tr w:rsidR="005E26E1" w:rsidRPr="00FC23DC" w:rsidTr="002A3300">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Статья 55. Подготовка к проведению общего собрания акционеров</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1. При подготовке к проведению общего собрания акционеров совет директоров (наблюдательный совет) общества определяет:</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а) форму проведения общего собрания акционеров </w:t>
            </w:r>
            <w:r w:rsidRPr="00FC23DC">
              <w:rPr>
                <w:rFonts w:ascii="Times New Roman" w:hAnsi="Times New Roman" w:cs="Times New Roman"/>
                <w:b/>
                <w:sz w:val="28"/>
                <w:szCs w:val="28"/>
                <w:u w:val="single"/>
              </w:rPr>
              <w:t>(собрание или заочное голосование)</w:t>
            </w:r>
            <w:r w:rsidRPr="00FC23DC">
              <w:rPr>
                <w:rFonts w:ascii="Times New Roman" w:hAnsi="Times New Roman" w:cs="Times New Roman"/>
                <w:sz w:val="28"/>
                <w:szCs w:val="28"/>
              </w:rPr>
              <w:t>;</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б) дату, место, время проведения общего собрания акционеров и в случае, когда в соответствии с пунктом 3 статьи 61 настоящего Закона заполненные бюллетени могут быть направлены обществу, -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tc>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Статья 55. Подготовка к проведению общего собрания акционеров</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1. При подготовке к проведению общего собрания акционеров совет директоров (наблюдательный совет) общества определяет:</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а) форму проведения общего собрания;</w:t>
            </w:r>
          </w:p>
          <w:p w:rsidR="00E719BB" w:rsidRDefault="00E719BB" w:rsidP="00920287">
            <w:pPr>
              <w:ind w:left="29" w:firstLine="284"/>
              <w:rPr>
                <w:rFonts w:ascii="Times New Roman" w:hAnsi="Times New Roman" w:cs="Times New Roman"/>
                <w:sz w:val="28"/>
                <w:szCs w:val="28"/>
              </w:rPr>
            </w:pPr>
          </w:p>
          <w:p w:rsidR="005E26E1" w:rsidRPr="00FC23DC" w:rsidRDefault="005E26E1" w:rsidP="00154295">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б) дату, место </w:t>
            </w:r>
            <w:r w:rsidRPr="0060528B">
              <w:rPr>
                <w:rFonts w:ascii="Times New Roman" w:hAnsi="Times New Roman" w:cs="Times New Roman"/>
                <w:b/>
                <w:sz w:val="28"/>
                <w:szCs w:val="28"/>
              </w:rPr>
              <w:t>и (или) способ коммуникации</w:t>
            </w:r>
            <w:r w:rsidRPr="00FC23DC">
              <w:rPr>
                <w:rFonts w:ascii="Times New Roman" w:hAnsi="Times New Roman" w:cs="Times New Roman"/>
                <w:sz w:val="28"/>
                <w:szCs w:val="28"/>
              </w:rPr>
              <w:t>, время проведения общего собрания акционеров и в случае, когда в соответствии с пунктом 3 статьи 61 настоящего Закона заполненные бюллетени могут быть направлены обществу, -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tc>
      </w:tr>
      <w:tr w:rsidR="005E26E1" w:rsidRPr="00FC23DC" w:rsidTr="002A3300">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Статья 61. Бюллетень для голосования</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1. Голосование по вопросам повестки дня общего собрания акционеров может осуществляться бюллетенями для голосования. Голосование по вопросам повестки дня </w:t>
            </w:r>
            <w:r w:rsidRPr="00FC23DC">
              <w:rPr>
                <w:rFonts w:ascii="Times New Roman" w:hAnsi="Times New Roman" w:cs="Times New Roman"/>
                <w:sz w:val="28"/>
                <w:szCs w:val="28"/>
              </w:rPr>
              <w:lastRenderedPageBreak/>
              <w:t>общего собрания акционеров, проводимого в форме заочного голосования, осуществляются только бюллетенями для голосования.</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4. В бюллетене для голосования должны быть указаны:</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в) дата, место, время проведения общего собрания акционеров и в случае, когда в соответствии с пунктом 3 настоящей статьи заполненные бюллетени могут быть направлены в общество, -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 дата окончания приема бюллетеней для голосования и почтовый адрес, по которому должны направляться заполненные бюллетени;</w:t>
            </w:r>
          </w:p>
        </w:tc>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Статья 61. Бюллетень для голосования</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1. Голосование по вопросам повестки дня общего собрания акционеров может осуществляться бюллетенями для голосования. Голосование по вопросам повестки дня </w:t>
            </w:r>
            <w:r w:rsidRPr="00FC23DC">
              <w:rPr>
                <w:rFonts w:ascii="Times New Roman" w:hAnsi="Times New Roman" w:cs="Times New Roman"/>
                <w:sz w:val="28"/>
                <w:szCs w:val="28"/>
              </w:rPr>
              <w:lastRenderedPageBreak/>
              <w:t>общего собрания акционеров, проводимого в форме заочного голосования, осуществляются только бюллетенями для голосования.</w:t>
            </w:r>
          </w:p>
          <w:p w:rsidR="005E26E1" w:rsidRPr="00FC23DC" w:rsidRDefault="005E26E1" w:rsidP="00920287">
            <w:pPr>
              <w:ind w:left="55" w:firstLine="142"/>
              <w:rPr>
                <w:rFonts w:ascii="Times New Roman" w:hAnsi="Times New Roman" w:cs="Times New Roman"/>
                <w:b/>
                <w:sz w:val="28"/>
                <w:szCs w:val="28"/>
                <w:u w:val="single"/>
              </w:rPr>
            </w:pPr>
            <w:r w:rsidRPr="0060528B">
              <w:rPr>
                <w:rFonts w:ascii="Times New Roman" w:hAnsi="Times New Roman" w:cs="Times New Roman"/>
                <w:b/>
                <w:sz w:val="28"/>
                <w:szCs w:val="28"/>
              </w:rPr>
              <w:t>В случае, когда</w:t>
            </w:r>
            <w:r w:rsidRPr="0060528B">
              <w:t xml:space="preserve"> </w:t>
            </w:r>
            <w:r w:rsidRPr="0060528B">
              <w:rPr>
                <w:rFonts w:ascii="Times New Roman" w:hAnsi="Times New Roman" w:cs="Times New Roman"/>
                <w:b/>
                <w:sz w:val="28"/>
                <w:szCs w:val="28"/>
              </w:rPr>
              <w:t xml:space="preserve">по вопросам повестки дня общего собрания акционеров принимается решение о голосовании бюллетенями для голосования и, при этом, собрание будет проводиться </w:t>
            </w:r>
            <w:r w:rsidRPr="0060528B">
              <w:rPr>
                <w:rFonts w:ascii="Times New Roman" w:eastAsia="Times New Roman" w:hAnsi="Times New Roman" w:cs="Times New Roman"/>
                <w:b/>
                <w:sz w:val="28"/>
                <w:szCs w:val="28"/>
              </w:rPr>
              <w:t>посредством использования информационно-телекоммуникационных сетей общего пользования, в том числе глобальной сети Интернет, к такому голосованию применяются правила, установленные настоящим Законом для заочного голосования.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4. В бюллетене для голосования должны быть указаны:</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в) дата, место </w:t>
            </w:r>
            <w:r w:rsidRPr="00CE3602">
              <w:rPr>
                <w:rFonts w:ascii="Times New Roman" w:hAnsi="Times New Roman" w:cs="Times New Roman"/>
                <w:b/>
                <w:sz w:val="28"/>
                <w:szCs w:val="28"/>
              </w:rPr>
              <w:t>и (или) способ коммуникации</w:t>
            </w:r>
            <w:r w:rsidRPr="00FC23DC">
              <w:rPr>
                <w:rFonts w:ascii="Times New Roman" w:hAnsi="Times New Roman" w:cs="Times New Roman"/>
                <w:sz w:val="28"/>
                <w:szCs w:val="28"/>
              </w:rPr>
              <w:t>, время проведения</w:t>
            </w:r>
            <w:r w:rsidRPr="00FC23DC">
              <w:rPr>
                <w:rFonts w:ascii="Times New Roman" w:hAnsi="Times New Roman" w:cs="Times New Roman"/>
                <w:b/>
                <w:sz w:val="28"/>
                <w:szCs w:val="28"/>
              </w:rPr>
              <w:t xml:space="preserve"> </w:t>
            </w:r>
            <w:r w:rsidRPr="00FC23DC">
              <w:rPr>
                <w:rFonts w:ascii="Times New Roman" w:hAnsi="Times New Roman" w:cs="Times New Roman"/>
                <w:sz w:val="28"/>
                <w:szCs w:val="28"/>
              </w:rPr>
              <w:t>общего собрания акционеров и в случае, когда в соответствии с пунктом 3 настоящей статьи заполненные бюллетени могут быть направлены в общество, - почтовый адрес, по которому могут направляться заполненные бюллетени - дата окончания приема бюллетеней для голосования и почтовый адрес, по которому должны направляться заполненные бюллетени;</w:t>
            </w:r>
          </w:p>
        </w:tc>
      </w:tr>
      <w:tr w:rsidR="005E26E1" w:rsidRPr="00FC23DC" w:rsidTr="002A3300">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Статья 64. Протокол общего собрания акционеров</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2. В протоколе общего собрания акционеров указываются: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а) место и время проведения общего собрания акционеров;</w:t>
            </w:r>
          </w:p>
        </w:tc>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Статья 64. Протокол общего собрания акционеров</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2. В протоколе общего собрания акционеров указываются:</w:t>
            </w:r>
          </w:p>
          <w:p w:rsidR="005E26E1" w:rsidRPr="00FC23DC" w:rsidRDefault="005E26E1" w:rsidP="001027C5">
            <w:pPr>
              <w:ind w:left="29" w:firstLine="284"/>
              <w:rPr>
                <w:rFonts w:ascii="Times New Roman" w:hAnsi="Times New Roman" w:cs="Times New Roman"/>
                <w:sz w:val="28"/>
                <w:szCs w:val="28"/>
              </w:rPr>
            </w:pPr>
            <w:r w:rsidRPr="00FC23DC">
              <w:rPr>
                <w:rFonts w:ascii="Times New Roman" w:hAnsi="Times New Roman" w:cs="Times New Roman"/>
                <w:sz w:val="28"/>
                <w:szCs w:val="28"/>
              </w:rPr>
              <w:t>а) место</w:t>
            </w:r>
            <w:r w:rsidR="001027C5">
              <w:rPr>
                <w:rFonts w:ascii="Times New Roman" w:hAnsi="Times New Roman" w:cs="Times New Roman"/>
                <w:sz w:val="28"/>
                <w:szCs w:val="28"/>
              </w:rPr>
              <w:t xml:space="preserve"> </w:t>
            </w:r>
            <w:r w:rsidR="00A23372">
              <w:rPr>
                <w:rFonts w:ascii="Times New Roman" w:hAnsi="Times New Roman" w:cs="Times New Roman"/>
                <w:sz w:val="28"/>
                <w:szCs w:val="28"/>
              </w:rPr>
              <w:t>и (</w:t>
            </w:r>
            <w:r w:rsidRPr="00FC23DC">
              <w:rPr>
                <w:rFonts w:ascii="Times New Roman" w:hAnsi="Times New Roman" w:cs="Times New Roman"/>
                <w:b/>
                <w:sz w:val="28"/>
                <w:szCs w:val="28"/>
                <w:u w:val="single"/>
              </w:rPr>
              <w:t>или</w:t>
            </w:r>
            <w:r w:rsidR="00A23372">
              <w:rPr>
                <w:rFonts w:ascii="Times New Roman" w:hAnsi="Times New Roman" w:cs="Times New Roman"/>
                <w:b/>
                <w:sz w:val="28"/>
                <w:szCs w:val="28"/>
                <w:u w:val="single"/>
              </w:rPr>
              <w:t>)</w:t>
            </w:r>
            <w:r w:rsidRPr="00FC23DC">
              <w:rPr>
                <w:rFonts w:ascii="Times New Roman" w:hAnsi="Times New Roman" w:cs="Times New Roman"/>
                <w:b/>
                <w:sz w:val="28"/>
                <w:szCs w:val="28"/>
                <w:u w:val="single"/>
              </w:rPr>
              <w:t xml:space="preserve"> способ коммуникации,</w:t>
            </w:r>
            <w:r w:rsidRPr="00FC23DC">
              <w:rPr>
                <w:rFonts w:ascii="Times New Roman" w:hAnsi="Times New Roman" w:cs="Times New Roman"/>
                <w:sz w:val="28"/>
                <w:szCs w:val="28"/>
              </w:rPr>
              <w:t xml:space="preserve"> время проведения общего собрания акционеров;</w:t>
            </w:r>
          </w:p>
        </w:tc>
      </w:tr>
      <w:tr w:rsidR="005E26E1" w:rsidRPr="00FC23DC" w:rsidTr="002A3300">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Статья 69. Заседание совета директоров (наблюдательного совета) общества</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4. На заседании совета директоров (наблюдательного совета) общества ведется протокол.</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Протокол заседания совета директоров (наблюдательного совета) общества составляется не позднее 3 (трех) дней после его проведения.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В протоколе заседания указываются: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а) место и время его проведения;</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p>
          <w:p w:rsidR="005E26E1" w:rsidRDefault="005E26E1" w:rsidP="00920287">
            <w:pPr>
              <w:ind w:left="29" w:firstLine="284"/>
              <w:rPr>
                <w:rFonts w:ascii="Times New Roman" w:hAnsi="Times New Roman" w:cs="Times New Roman"/>
                <w:sz w:val="28"/>
                <w:szCs w:val="28"/>
              </w:rPr>
            </w:pPr>
          </w:p>
          <w:p w:rsidR="00673CFC" w:rsidRDefault="00673CFC" w:rsidP="00920287">
            <w:pPr>
              <w:ind w:left="29" w:firstLine="284"/>
              <w:rPr>
                <w:rFonts w:ascii="Times New Roman" w:hAnsi="Times New Roman" w:cs="Times New Roman"/>
                <w:sz w:val="28"/>
                <w:szCs w:val="28"/>
              </w:rPr>
            </w:pPr>
          </w:p>
          <w:p w:rsidR="00137E2F" w:rsidRPr="00FC23DC" w:rsidRDefault="00137E2F"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б) лица, </w:t>
            </w:r>
            <w:r w:rsidRPr="006F0275">
              <w:rPr>
                <w:rFonts w:ascii="Times New Roman" w:hAnsi="Times New Roman" w:cs="Times New Roman"/>
                <w:b/>
                <w:sz w:val="28"/>
                <w:szCs w:val="28"/>
              </w:rPr>
              <w:t>присутствующие на</w:t>
            </w:r>
            <w:r w:rsidRPr="00FC23DC">
              <w:rPr>
                <w:rFonts w:ascii="Times New Roman" w:hAnsi="Times New Roman" w:cs="Times New Roman"/>
                <w:sz w:val="28"/>
                <w:szCs w:val="28"/>
              </w:rPr>
              <w:t xml:space="preserve"> заседании;</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в) повестка дня заседания;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г) вопросы, поставленные на голосование, и итоги голосования по ним;</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д) принятые решения.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Протокол заседания совета директоров (наблюдательного совета) общества подписывается всеми членами совета директоров (наблюдательного совета) общества, принимавшими участие в голосовании.</w:t>
            </w:r>
          </w:p>
        </w:tc>
        <w:tc>
          <w:tcPr>
            <w:tcW w:w="4899" w:type="dxa"/>
          </w:tcPr>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lastRenderedPageBreak/>
              <w:t>Статья 69. Заседание совета директоров (наблюдательного совета) общества</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 </w:t>
            </w:r>
            <w:r w:rsidRPr="007C4A34">
              <w:rPr>
                <w:rFonts w:ascii="Times New Roman" w:hAnsi="Times New Roman" w:cs="Times New Roman"/>
                <w:b/>
                <w:sz w:val="28"/>
                <w:szCs w:val="28"/>
              </w:rPr>
              <w:t xml:space="preserve">либо </w:t>
            </w:r>
            <w:r w:rsidRPr="007C4A34">
              <w:rPr>
                <w:rFonts w:ascii="Times New Roman" w:eastAsia="Times New Roman" w:hAnsi="Times New Roman" w:cs="Times New Roman"/>
                <w:b/>
                <w:sz w:val="28"/>
                <w:szCs w:val="28"/>
              </w:rPr>
              <w:t>посредством использования информационно-телекоммуникационных сетей общего пользования, в том числе глобальной сети Интернет</w:t>
            </w:r>
            <w:r w:rsidRPr="00FC23DC">
              <w:rPr>
                <w:rFonts w:ascii="Times New Roman" w:hAnsi="Times New Roman" w:cs="Times New Roman"/>
                <w:sz w:val="28"/>
                <w:szCs w:val="28"/>
              </w:rPr>
              <w:t>.</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4. На заседании совета директоров (наблюдательного совета) общества ведется протокол.</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Протокол заседания совета директоров (наблюдательного совета) общества составляется не позднее 3 (трех) дней после его проведения.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В протоколе заседания указываются: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color w:val="000000" w:themeColor="text1"/>
                <w:sz w:val="28"/>
                <w:szCs w:val="28"/>
              </w:rPr>
              <w:lastRenderedPageBreak/>
              <w:t>а) место</w:t>
            </w:r>
            <w:r w:rsidR="007C4A34">
              <w:rPr>
                <w:rFonts w:ascii="Times New Roman" w:hAnsi="Times New Roman" w:cs="Times New Roman"/>
                <w:color w:val="000000" w:themeColor="text1"/>
                <w:sz w:val="28"/>
                <w:szCs w:val="28"/>
              </w:rPr>
              <w:t xml:space="preserve"> </w:t>
            </w:r>
            <w:r w:rsidR="007C4A34" w:rsidRPr="007C4A34">
              <w:rPr>
                <w:rFonts w:ascii="Times New Roman" w:hAnsi="Times New Roman" w:cs="Times New Roman"/>
                <w:b/>
                <w:color w:val="000000" w:themeColor="text1"/>
                <w:sz w:val="28"/>
                <w:szCs w:val="28"/>
              </w:rPr>
              <w:t>или</w:t>
            </w:r>
            <w:r w:rsidRPr="007C4A34">
              <w:rPr>
                <w:rFonts w:ascii="Times New Roman" w:hAnsi="Times New Roman" w:cs="Times New Roman"/>
                <w:b/>
                <w:color w:val="000000" w:themeColor="text1"/>
                <w:sz w:val="28"/>
                <w:szCs w:val="28"/>
              </w:rPr>
              <w:t xml:space="preserve"> форма проведения</w:t>
            </w:r>
            <w:r w:rsidRPr="00FC23DC">
              <w:rPr>
                <w:rFonts w:ascii="Times New Roman" w:hAnsi="Times New Roman" w:cs="Times New Roman"/>
                <w:color w:val="000000" w:themeColor="text1"/>
                <w:sz w:val="28"/>
                <w:szCs w:val="28"/>
              </w:rPr>
              <w:t>, время проведения</w:t>
            </w:r>
            <w:r w:rsidRPr="00FC23DC">
              <w:rPr>
                <w:rFonts w:ascii="Times New Roman" w:hAnsi="Times New Roman" w:cs="Times New Roman"/>
                <w:b/>
                <w:color w:val="000000" w:themeColor="text1"/>
                <w:sz w:val="28"/>
                <w:szCs w:val="28"/>
              </w:rPr>
              <w:t xml:space="preserve"> </w:t>
            </w:r>
            <w:r w:rsidRPr="007C4A34">
              <w:rPr>
                <w:rFonts w:ascii="Times New Roman" w:hAnsi="Times New Roman" w:cs="Times New Roman"/>
                <w:b/>
                <w:color w:val="000000" w:themeColor="text1"/>
                <w:sz w:val="28"/>
                <w:szCs w:val="28"/>
              </w:rPr>
              <w:t>и способ коммуникации</w:t>
            </w:r>
            <w:r w:rsidRPr="00FC23DC">
              <w:rPr>
                <w:rFonts w:ascii="Times New Roman" w:hAnsi="Times New Roman" w:cs="Times New Roman"/>
                <w:color w:val="000000" w:themeColor="text1"/>
                <w:sz w:val="28"/>
                <w:szCs w:val="28"/>
              </w:rPr>
              <w:t xml:space="preserve"> заседания совета директоров (наблюдательного совета) общества;</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 xml:space="preserve">б) лица, </w:t>
            </w:r>
            <w:r w:rsidRPr="006F0275">
              <w:rPr>
                <w:rFonts w:ascii="Times New Roman" w:hAnsi="Times New Roman" w:cs="Times New Roman"/>
                <w:b/>
                <w:sz w:val="28"/>
                <w:szCs w:val="28"/>
              </w:rPr>
              <w:t>участвующие в</w:t>
            </w:r>
            <w:r w:rsidRPr="00FC23DC">
              <w:rPr>
                <w:rFonts w:ascii="Times New Roman" w:hAnsi="Times New Roman" w:cs="Times New Roman"/>
                <w:sz w:val="28"/>
                <w:szCs w:val="28"/>
              </w:rPr>
              <w:t xml:space="preserve"> заседании;</w:t>
            </w:r>
          </w:p>
          <w:p w:rsidR="005E26E1" w:rsidRPr="00FC23DC" w:rsidRDefault="005E26E1" w:rsidP="00920287">
            <w:pPr>
              <w:ind w:left="29" w:firstLine="284"/>
              <w:rPr>
                <w:rFonts w:ascii="Times New Roman" w:hAnsi="Times New Roman" w:cs="Times New Roman"/>
                <w:sz w:val="28"/>
                <w:szCs w:val="28"/>
              </w:rPr>
            </w:pP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в) повестка дня заседания;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г) вопросы, поставленные на голосование, и итоги голосования по ним;</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д) принятые решения.</w:t>
            </w:r>
          </w:p>
          <w:p w:rsidR="005E26E1" w:rsidRPr="00FC23DC" w:rsidRDefault="005E26E1" w:rsidP="00920287">
            <w:pPr>
              <w:ind w:left="29" w:firstLine="284"/>
              <w:rPr>
                <w:rFonts w:ascii="Times New Roman" w:hAnsi="Times New Roman" w:cs="Times New Roman"/>
                <w:sz w:val="28"/>
                <w:szCs w:val="28"/>
              </w:rPr>
            </w:pPr>
            <w:r w:rsidRPr="00FC23DC">
              <w:rPr>
                <w:rFonts w:ascii="Times New Roman" w:hAnsi="Times New Roman" w:cs="Times New Roman"/>
                <w:sz w:val="28"/>
                <w:szCs w:val="28"/>
              </w:rPr>
              <w:t>Протокол заседания совета директоров (наблюдательного совета) общества подписывается всеми членами совета директоров (наблюдательного совета) общества, принимавшими участие в голосовании.</w:t>
            </w:r>
          </w:p>
        </w:tc>
      </w:tr>
    </w:tbl>
    <w:p w:rsidR="00F86C6D" w:rsidRPr="00205C7F" w:rsidRDefault="00F86C6D" w:rsidP="006F0275">
      <w:pPr>
        <w:rPr>
          <w:rFonts w:ascii="Times New Roman" w:hAnsi="Times New Roman" w:cs="Times New Roman"/>
          <w:sz w:val="28"/>
          <w:szCs w:val="28"/>
        </w:rPr>
      </w:pPr>
    </w:p>
    <w:sectPr w:rsidR="00F86C6D" w:rsidRPr="00205C7F" w:rsidSect="00B57BB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964"/>
    <w:multiLevelType w:val="hybridMultilevel"/>
    <w:tmpl w:val="F0104C62"/>
    <w:lvl w:ilvl="0" w:tplc="99A6DC3E">
      <w:start w:val="1"/>
      <w:numFmt w:val="decimal"/>
      <w:lvlText w:val="%1)"/>
      <w:legacy w:legacy="1" w:legacySpace="0" w:legacyIndent="480"/>
      <w:lvlJc w:val="left"/>
      <w:rPr>
        <w:rFonts w:ascii="Times New Roman" w:hAnsi="Times New Roman" w:cs="Times New Roman"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F8"/>
    <w:rsid w:val="00002BA8"/>
    <w:rsid w:val="000076BE"/>
    <w:rsid w:val="00017BAF"/>
    <w:rsid w:val="0002325F"/>
    <w:rsid w:val="00024180"/>
    <w:rsid w:val="00037F20"/>
    <w:rsid w:val="00070467"/>
    <w:rsid w:val="00075F06"/>
    <w:rsid w:val="00092C94"/>
    <w:rsid w:val="000A2C9C"/>
    <w:rsid w:val="000A58BC"/>
    <w:rsid w:val="000B0F16"/>
    <w:rsid w:val="000B4642"/>
    <w:rsid w:val="000D4994"/>
    <w:rsid w:val="000E355C"/>
    <w:rsid w:val="000F5DFC"/>
    <w:rsid w:val="001027C5"/>
    <w:rsid w:val="00103B75"/>
    <w:rsid w:val="00130D00"/>
    <w:rsid w:val="001359FD"/>
    <w:rsid w:val="00137E2F"/>
    <w:rsid w:val="00152022"/>
    <w:rsid w:val="00154295"/>
    <w:rsid w:val="00170E30"/>
    <w:rsid w:val="00172825"/>
    <w:rsid w:val="00181FEA"/>
    <w:rsid w:val="001A394F"/>
    <w:rsid w:val="001D1FA7"/>
    <w:rsid w:val="001F0B9F"/>
    <w:rsid w:val="001F3CA8"/>
    <w:rsid w:val="001F755C"/>
    <w:rsid w:val="002043A0"/>
    <w:rsid w:val="00205C7F"/>
    <w:rsid w:val="0021030C"/>
    <w:rsid w:val="00217780"/>
    <w:rsid w:val="00222A2E"/>
    <w:rsid w:val="0024703C"/>
    <w:rsid w:val="00253707"/>
    <w:rsid w:val="00277A92"/>
    <w:rsid w:val="00280D45"/>
    <w:rsid w:val="00282FF0"/>
    <w:rsid w:val="00293B95"/>
    <w:rsid w:val="002A0C74"/>
    <w:rsid w:val="002A3300"/>
    <w:rsid w:val="002A61D4"/>
    <w:rsid w:val="002B1204"/>
    <w:rsid w:val="002C5836"/>
    <w:rsid w:val="002D65EB"/>
    <w:rsid w:val="002D677A"/>
    <w:rsid w:val="002E12C7"/>
    <w:rsid w:val="002E1E17"/>
    <w:rsid w:val="002E3CCE"/>
    <w:rsid w:val="002E4580"/>
    <w:rsid w:val="002E7DA7"/>
    <w:rsid w:val="002F470C"/>
    <w:rsid w:val="002F4D4C"/>
    <w:rsid w:val="003053EF"/>
    <w:rsid w:val="00323DCA"/>
    <w:rsid w:val="00327A69"/>
    <w:rsid w:val="003321EC"/>
    <w:rsid w:val="003331B8"/>
    <w:rsid w:val="00337E5D"/>
    <w:rsid w:val="003542F7"/>
    <w:rsid w:val="00354C32"/>
    <w:rsid w:val="00367A89"/>
    <w:rsid w:val="003851EC"/>
    <w:rsid w:val="003A4C02"/>
    <w:rsid w:val="003B5656"/>
    <w:rsid w:val="003B74C2"/>
    <w:rsid w:val="003E54D0"/>
    <w:rsid w:val="003F2C7D"/>
    <w:rsid w:val="0040191F"/>
    <w:rsid w:val="00401BFE"/>
    <w:rsid w:val="004111D6"/>
    <w:rsid w:val="0042013B"/>
    <w:rsid w:val="00420E1A"/>
    <w:rsid w:val="00421A55"/>
    <w:rsid w:val="00426863"/>
    <w:rsid w:val="0043346E"/>
    <w:rsid w:val="00452550"/>
    <w:rsid w:val="00452ED6"/>
    <w:rsid w:val="00455E88"/>
    <w:rsid w:val="004635A9"/>
    <w:rsid w:val="00472C05"/>
    <w:rsid w:val="00476BBD"/>
    <w:rsid w:val="00490039"/>
    <w:rsid w:val="0049043A"/>
    <w:rsid w:val="0049553C"/>
    <w:rsid w:val="0049663F"/>
    <w:rsid w:val="00497E14"/>
    <w:rsid w:val="004A4E3A"/>
    <w:rsid w:val="004B5104"/>
    <w:rsid w:val="004C26BE"/>
    <w:rsid w:val="004D0439"/>
    <w:rsid w:val="004D68FA"/>
    <w:rsid w:val="00511F38"/>
    <w:rsid w:val="00511F46"/>
    <w:rsid w:val="00531854"/>
    <w:rsid w:val="00535644"/>
    <w:rsid w:val="00535A76"/>
    <w:rsid w:val="00540A40"/>
    <w:rsid w:val="00566E36"/>
    <w:rsid w:val="00571664"/>
    <w:rsid w:val="00580FCB"/>
    <w:rsid w:val="00590A5C"/>
    <w:rsid w:val="005B4E38"/>
    <w:rsid w:val="005C4211"/>
    <w:rsid w:val="005D1188"/>
    <w:rsid w:val="005D4590"/>
    <w:rsid w:val="005E1F52"/>
    <w:rsid w:val="005E26E1"/>
    <w:rsid w:val="005E275E"/>
    <w:rsid w:val="005E3B68"/>
    <w:rsid w:val="005E6852"/>
    <w:rsid w:val="00600402"/>
    <w:rsid w:val="00602077"/>
    <w:rsid w:val="0060528B"/>
    <w:rsid w:val="00623720"/>
    <w:rsid w:val="00626029"/>
    <w:rsid w:val="00627EAB"/>
    <w:rsid w:val="00627ECD"/>
    <w:rsid w:val="00636007"/>
    <w:rsid w:val="00645448"/>
    <w:rsid w:val="00645F03"/>
    <w:rsid w:val="00652D34"/>
    <w:rsid w:val="0065477C"/>
    <w:rsid w:val="00655924"/>
    <w:rsid w:val="00662260"/>
    <w:rsid w:val="0066788C"/>
    <w:rsid w:val="00673CFC"/>
    <w:rsid w:val="00684780"/>
    <w:rsid w:val="00690274"/>
    <w:rsid w:val="006962E2"/>
    <w:rsid w:val="006A1A06"/>
    <w:rsid w:val="006C184D"/>
    <w:rsid w:val="006C6339"/>
    <w:rsid w:val="006E02F5"/>
    <w:rsid w:val="006F0275"/>
    <w:rsid w:val="006F6AC8"/>
    <w:rsid w:val="00703705"/>
    <w:rsid w:val="00713CD8"/>
    <w:rsid w:val="0071498D"/>
    <w:rsid w:val="00714BCA"/>
    <w:rsid w:val="00722B88"/>
    <w:rsid w:val="00731EBF"/>
    <w:rsid w:val="007320B5"/>
    <w:rsid w:val="00741234"/>
    <w:rsid w:val="0074189B"/>
    <w:rsid w:val="00754F0B"/>
    <w:rsid w:val="00760628"/>
    <w:rsid w:val="0076091A"/>
    <w:rsid w:val="007755C1"/>
    <w:rsid w:val="007760F2"/>
    <w:rsid w:val="00786155"/>
    <w:rsid w:val="00786E58"/>
    <w:rsid w:val="007916E8"/>
    <w:rsid w:val="0079214E"/>
    <w:rsid w:val="00792443"/>
    <w:rsid w:val="00792E0D"/>
    <w:rsid w:val="007A3FB6"/>
    <w:rsid w:val="007B2C26"/>
    <w:rsid w:val="007B384C"/>
    <w:rsid w:val="007B7744"/>
    <w:rsid w:val="007C4A34"/>
    <w:rsid w:val="007C5399"/>
    <w:rsid w:val="007C62CE"/>
    <w:rsid w:val="007E4FFA"/>
    <w:rsid w:val="00801D30"/>
    <w:rsid w:val="0080368B"/>
    <w:rsid w:val="00807E29"/>
    <w:rsid w:val="00815631"/>
    <w:rsid w:val="00823580"/>
    <w:rsid w:val="00830BB6"/>
    <w:rsid w:val="00832C6C"/>
    <w:rsid w:val="00845C08"/>
    <w:rsid w:val="00855844"/>
    <w:rsid w:val="00864ACC"/>
    <w:rsid w:val="008779EC"/>
    <w:rsid w:val="00887548"/>
    <w:rsid w:val="008953BF"/>
    <w:rsid w:val="008B61FD"/>
    <w:rsid w:val="008C6D8A"/>
    <w:rsid w:val="008F2BDD"/>
    <w:rsid w:val="00905297"/>
    <w:rsid w:val="0091082F"/>
    <w:rsid w:val="0091320A"/>
    <w:rsid w:val="0091398D"/>
    <w:rsid w:val="009252CF"/>
    <w:rsid w:val="00927F34"/>
    <w:rsid w:val="00935674"/>
    <w:rsid w:val="00935CF5"/>
    <w:rsid w:val="0094162B"/>
    <w:rsid w:val="00947342"/>
    <w:rsid w:val="0095323D"/>
    <w:rsid w:val="0096330A"/>
    <w:rsid w:val="009649B1"/>
    <w:rsid w:val="00965408"/>
    <w:rsid w:val="009809E8"/>
    <w:rsid w:val="00986D13"/>
    <w:rsid w:val="00987571"/>
    <w:rsid w:val="00994489"/>
    <w:rsid w:val="009A6F27"/>
    <w:rsid w:val="009B20F2"/>
    <w:rsid w:val="009B4C61"/>
    <w:rsid w:val="009C0ECC"/>
    <w:rsid w:val="009D42E9"/>
    <w:rsid w:val="009D668D"/>
    <w:rsid w:val="009F3711"/>
    <w:rsid w:val="00A01C62"/>
    <w:rsid w:val="00A23372"/>
    <w:rsid w:val="00A26091"/>
    <w:rsid w:val="00A70D74"/>
    <w:rsid w:val="00A73529"/>
    <w:rsid w:val="00A9636B"/>
    <w:rsid w:val="00A97486"/>
    <w:rsid w:val="00AB709D"/>
    <w:rsid w:val="00AC397F"/>
    <w:rsid w:val="00AC6A8E"/>
    <w:rsid w:val="00AE3BC7"/>
    <w:rsid w:val="00AE3E86"/>
    <w:rsid w:val="00AE5CC0"/>
    <w:rsid w:val="00AF5CE1"/>
    <w:rsid w:val="00B05139"/>
    <w:rsid w:val="00B05AB5"/>
    <w:rsid w:val="00B066AE"/>
    <w:rsid w:val="00B20608"/>
    <w:rsid w:val="00B24BB7"/>
    <w:rsid w:val="00B25F38"/>
    <w:rsid w:val="00B262F9"/>
    <w:rsid w:val="00B2736D"/>
    <w:rsid w:val="00B3131A"/>
    <w:rsid w:val="00B32C81"/>
    <w:rsid w:val="00B423B5"/>
    <w:rsid w:val="00B42AE0"/>
    <w:rsid w:val="00B45570"/>
    <w:rsid w:val="00B51F9C"/>
    <w:rsid w:val="00B57BBE"/>
    <w:rsid w:val="00B61C7E"/>
    <w:rsid w:val="00B671EE"/>
    <w:rsid w:val="00B67279"/>
    <w:rsid w:val="00B707B2"/>
    <w:rsid w:val="00B80A5D"/>
    <w:rsid w:val="00B92422"/>
    <w:rsid w:val="00BA4730"/>
    <w:rsid w:val="00BB11E6"/>
    <w:rsid w:val="00BD15DA"/>
    <w:rsid w:val="00BD65F6"/>
    <w:rsid w:val="00BF0824"/>
    <w:rsid w:val="00C15193"/>
    <w:rsid w:val="00C16925"/>
    <w:rsid w:val="00C22CB2"/>
    <w:rsid w:val="00C3218B"/>
    <w:rsid w:val="00C327A4"/>
    <w:rsid w:val="00C35E52"/>
    <w:rsid w:val="00C46FB6"/>
    <w:rsid w:val="00C70105"/>
    <w:rsid w:val="00C76CD9"/>
    <w:rsid w:val="00C82E76"/>
    <w:rsid w:val="00C86468"/>
    <w:rsid w:val="00C86DE8"/>
    <w:rsid w:val="00C8759F"/>
    <w:rsid w:val="00CA17BF"/>
    <w:rsid w:val="00CB4967"/>
    <w:rsid w:val="00CC2177"/>
    <w:rsid w:val="00CC6138"/>
    <w:rsid w:val="00CD4F5E"/>
    <w:rsid w:val="00CE08C9"/>
    <w:rsid w:val="00CE3602"/>
    <w:rsid w:val="00CE5F3E"/>
    <w:rsid w:val="00CE655C"/>
    <w:rsid w:val="00CF0AF4"/>
    <w:rsid w:val="00D14273"/>
    <w:rsid w:val="00D32DF5"/>
    <w:rsid w:val="00D561FF"/>
    <w:rsid w:val="00D62F37"/>
    <w:rsid w:val="00D801DB"/>
    <w:rsid w:val="00D970B6"/>
    <w:rsid w:val="00DB069E"/>
    <w:rsid w:val="00DB4F71"/>
    <w:rsid w:val="00DC7637"/>
    <w:rsid w:val="00DE11E3"/>
    <w:rsid w:val="00E060F8"/>
    <w:rsid w:val="00E070B2"/>
    <w:rsid w:val="00E328D4"/>
    <w:rsid w:val="00E45D9F"/>
    <w:rsid w:val="00E51F96"/>
    <w:rsid w:val="00E5267B"/>
    <w:rsid w:val="00E66D18"/>
    <w:rsid w:val="00E719BB"/>
    <w:rsid w:val="00E74F10"/>
    <w:rsid w:val="00E86AA3"/>
    <w:rsid w:val="00E87213"/>
    <w:rsid w:val="00E91546"/>
    <w:rsid w:val="00EA3273"/>
    <w:rsid w:val="00EB18EF"/>
    <w:rsid w:val="00EF0A4E"/>
    <w:rsid w:val="00EF507A"/>
    <w:rsid w:val="00EF6090"/>
    <w:rsid w:val="00F10019"/>
    <w:rsid w:val="00F40CE4"/>
    <w:rsid w:val="00F4611A"/>
    <w:rsid w:val="00F53890"/>
    <w:rsid w:val="00F54C90"/>
    <w:rsid w:val="00F60288"/>
    <w:rsid w:val="00F84824"/>
    <w:rsid w:val="00F86C6D"/>
    <w:rsid w:val="00FA11AB"/>
    <w:rsid w:val="00FA1618"/>
    <w:rsid w:val="00FA6817"/>
    <w:rsid w:val="00FB4E8B"/>
    <w:rsid w:val="00FC10E4"/>
    <w:rsid w:val="00FC45CB"/>
    <w:rsid w:val="00FD39E7"/>
    <w:rsid w:val="00FE32A3"/>
    <w:rsid w:val="00FF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0CCC"/>
  <w15:chartTrackingRefBased/>
  <w15:docId w15:val="{4ED6D1AC-368B-4BA7-80A0-6C2DD73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ind w:left="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B5"/>
  </w:style>
  <w:style w:type="paragraph" w:styleId="1">
    <w:name w:val="heading 1"/>
    <w:basedOn w:val="a"/>
    <w:next w:val="a"/>
    <w:link w:val="10"/>
    <w:uiPriority w:val="9"/>
    <w:qFormat/>
    <w:rsid w:val="008F2B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F2B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F2B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D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F2BDD"/>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F2BDD"/>
    <w:rPr>
      <w:rFonts w:asciiTheme="majorHAnsi" w:eastAsiaTheme="majorEastAsia" w:hAnsiTheme="majorHAnsi" w:cstheme="majorBidi"/>
      <w:i/>
      <w:iCs/>
      <w:color w:val="2E74B5" w:themeColor="accent1" w:themeShade="BF"/>
    </w:rPr>
  </w:style>
  <w:style w:type="paragraph" w:styleId="a3">
    <w:name w:val="caption"/>
    <w:basedOn w:val="a"/>
    <w:next w:val="a"/>
    <w:uiPriority w:val="35"/>
    <w:semiHidden/>
    <w:unhideWhenUsed/>
    <w:qFormat/>
    <w:rsid w:val="008F2BDD"/>
    <w:pPr>
      <w:spacing w:after="200"/>
    </w:pPr>
    <w:rPr>
      <w:i/>
      <w:iCs/>
      <w:color w:val="44546A" w:themeColor="text2"/>
      <w:sz w:val="18"/>
      <w:szCs w:val="18"/>
    </w:rPr>
  </w:style>
  <w:style w:type="character" w:styleId="a4">
    <w:name w:val="Strong"/>
    <w:basedOn w:val="a0"/>
    <w:uiPriority w:val="22"/>
    <w:qFormat/>
    <w:rsid w:val="008F2BDD"/>
    <w:rPr>
      <w:b/>
      <w:bCs/>
    </w:rPr>
  </w:style>
  <w:style w:type="character" w:styleId="a5">
    <w:name w:val="Emphasis"/>
    <w:basedOn w:val="a0"/>
    <w:uiPriority w:val="20"/>
    <w:qFormat/>
    <w:rsid w:val="008F2BDD"/>
    <w:rPr>
      <w:i/>
      <w:iCs/>
    </w:rPr>
  </w:style>
  <w:style w:type="table" w:styleId="a6">
    <w:name w:val="Table Grid"/>
    <w:basedOn w:val="a1"/>
    <w:uiPriority w:val="39"/>
    <w:rsid w:val="0069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1398D"/>
    <w:rPr>
      <w:sz w:val="16"/>
      <w:szCs w:val="16"/>
    </w:rPr>
  </w:style>
  <w:style w:type="paragraph" w:styleId="a8">
    <w:name w:val="annotation text"/>
    <w:basedOn w:val="a"/>
    <w:link w:val="a9"/>
    <w:uiPriority w:val="99"/>
    <w:semiHidden/>
    <w:unhideWhenUsed/>
    <w:rsid w:val="0091398D"/>
    <w:rPr>
      <w:sz w:val="20"/>
      <w:szCs w:val="20"/>
    </w:rPr>
  </w:style>
  <w:style w:type="character" w:customStyle="1" w:styleId="a9">
    <w:name w:val="Текст примечания Знак"/>
    <w:basedOn w:val="a0"/>
    <w:link w:val="a8"/>
    <w:uiPriority w:val="99"/>
    <w:semiHidden/>
    <w:rsid w:val="0091398D"/>
    <w:rPr>
      <w:sz w:val="20"/>
      <w:szCs w:val="20"/>
    </w:rPr>
  </w:style>
  <w:style w:type="paragraph" w:styleId="aa">
    <w:name w:val="annotation subject"/>
    <w:basedOn w:val="a8"/>
    <w:next w:val="a8"/>
    <w:link w:val="ab"/>
    <w:uiPriority w:val="99"/>
    <w:semiHidden/>
    <w:unhideWhenUsed/>
    <w:rsid w:val="0091398D"/>
    <w:rPr>
      <w:b/>
      <w:bCs/>
    </w:rPr>
  </w:style>
  <w:style w:type="character" w:customStyle="1" w:styleId="ab">
    <w:name w:val="Тема примечания Знак"/>
    <w:basedOn w:val="a9"/>
    <w:link w:val="aa"/>
    <w:uiPriority w:val="99"/>
    <w:semiHidden/>
    <w:rsid w:val="0091398D"/>
    <w:rPr>
      <w:b/>
      <w:bCs/>
      <w:sz w:val="20"/>
      <w:szCs w:val="20"/>
    </w:rPr>
  </w:style>
  <w:style w:type="paragraph" w:styleId="ac">
    <w:name w:val="Balloon Text"/>
    <w:basedOn w:val="a"/>
    <w:link w:val="ad"/>
    <w:uiPriority w:val="99"/>
    <w:semiHidden/>
    <w:unhideWhenUsed/>
    <w:rsid w:val="0091398D"/>
    <w:rPr>
      <w:rFonts w:ascii="Segoe UI" w:hAnsi="Segoe UI" w:cs="Segoe UI"/>
      <w:sz w:val="18"/>
      <w:szCs w:val="18"/>
    </w:rPr>
  </w:style>
  <w:style w:type="character" w:customStyle="1" w:styleId="ad">
    <w:name w:val="Текст выноски Знак"/>
    <w:basedOn w:val="a0"/>
    <w:link w:val="ac"/>
    <w:uiPriority w:val="99"/>
    <w:semiHidden/>
    <w:rsid w:val="0091398D"/>
    <w:rPr>
      <w:rFonts w:ascii="Segoe UI" w:hAnsi="Segoe UI" w:cs="Segoe UI"/>
      <w:sz w:val="18"/>
      <w:szCs w:val="18"/>
    </w:rPr>
  </w:style>
  <w:style w:type="paragraph" w:styleId="ae">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2"/>
    <w:basedOn w:val="a"/>
    <w:link w:val="af"/>
    <w:rsid w:val="00D561FF"/>
    <w:pPr>
      <w:ind w:left="0"/>
      <w:jc w:val="left"/>
    </w:pPr>
    <w:rPr>
      <w:rFonts w:ascii="Courier New" w:eastAsia="Times New Roman"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e"/>
    <w:rsid w:val="00D561FF"/>
    <w:rPr>
      <w:rFonts w:ascii="Courier New" w:eastAsia="Times New Roman" w:hAnsi="Courier New" w:cs="Courier New"/>
      <w:sz w:val="20"/>
      <w:szCs w:val="20"/>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rsid w:val="00F86C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51048">
      <w:bodyDiv w:val="1"/>
      <w:marLeft w:val="0"/>
      <w:marRight w:val="0"/>
      <w:marTop w:val="0"/>
      <w:marBottom w:val="0"/>
      <w:divBdr>
        <w:top w:val="none" w:sz="0" w:space="0" w:color="auto"/>
        <w:left w:val="none" w:sz="0" w:space="0" w:color="auto"/>
        <w:bottom w:val="none" w:sz="0" w:space="0" w:color="auto"/>
        <w:right w:val="none" w:sz="0" w:space="0" w:color="auto"/>
      </w:divBdr>
    </w:div>
    <w:div w:id="504974524">
      <w:bodyDiv w:val="1"/>
      <w:marLeft w:val="0"/>
      <w:marRight w:val="0"/>
      <w:marTop w:val="0"/>
      <w:marBottom w:val="0"/>
      <w:divBdr>
        <w:top w:val="none" w:sz="0" w:space="0" w:color="auto"/>
        <w:left w:val="none" w:sz="0" w:space="0" w:color="auto"/>
        <w:bottom w:val="none" w:sz="0" w:space="0" w:color="auto"/>
        <w:right w:val="none" w:sz="0" w:space="0" w:color="auto"/>
      </w:divBdr>
    </w:div>
    <w:div w:id="1644768638">
      <w:bodyDiv w:val="1"/>
      <w:marLeft w:val="0"/>
      <w:marRight w:val="0"/>
      <w:marTop w:val="0"/>
      <w:marBottom w:val="0"/>
      <w:divBdr>
        <w:top w:val="none" w:sz="0" w:space="0" w:color="auto"/>
        <w:left w:val="none" w:sz="0" w:space="0" w:color="auto"/>
        <w:bottom w:val="none" w:sz="0" w:space="0" w:color="auto"/>
        <w:right w:val="none" w:sz="0" w:space="0" w:color="auto"/>
      </w:divBdr>
    </w:div>
    <w:div w:id="18893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EB34-6A29-4816-8CD9-1B86FE8C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7359</TotalTime>
  <Pages>5</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Винницкий В.В.</dc:creator>
  <cp:keywords/>
  <dc:description/>
  <cp:lastModifiedBy>Юрченко Анна Руслановна</cp:lastModifiedBy>
  <cp:revision>25</cp:revision>
  <cp:lastPrinted>2021-09-07T11:29:00Z</cp:lastPrinted>
  <dcterms:created xsi:type="dcterms:W3CDTF">2021-03-19T07:52:00Z</dcterms:created>
  <dcterms:modified xsi:type="dcterms:W3CDTF">2021-09-24T11:25:00Z</dcterms:modified>
</cp:coreProperties>
</file>