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EBB" w:rsidRPr="00E27E7E" w:rsidRDefault="00A06EBB" w:rsidP="00A06EBB">
      <w:pPr>
        <w:pStyle w:val="1"/>
        <w:spacing w:before="0" w:after="0"/>
        <w:jc w:val="center"/>
        <w:rPr>
          <w:rFonts w:ascii="Times New Roman" w:hAnsi="Times New Roman" w:cs="Times New Roman"/>
          <w:sz w:val="28"/>
          <w:szCs w:val="28"/>
        </w:rPr>
      </w:pPr>
      <w:r w:rsidRPr="00E27E7E">
        <w:rPr>
          <w:rFonts w:ascii="Times New Roman" w:hAnsi="Times New Roman" w:cs="Times New Roman"/>
          <w:sz w:val="28"/>
          <w:szCs w:val="28"/>
        </w:rPr>
        <w:t>СРАВНИТЕЛЬНАЯ ТАБЛИЦА</w:t>
      </w:r>
    </w:p>
    <w:p w:rsidR="00A06EBB" w:rsidRDefault="00A06EBB" w:rsidP="00A06EBB">
      <w:pPr>
        <w:jc w:val="center"/>
        <w:rPr>
          <w:sz w:val="28"/>
          <w:szCs w:val="28"/>
        </w:rPr>
      </w:pPr>
      <w:r>
        <w:rPr>
          <w:sz w:val="28"/>
          <w:szCs w:val="28"/>
        </w:rPr>
        <w:t xml:space="preserve">к проекту </w:t>
      </w:r>
      <w:r w:rsidRPr="00091697">
        <w:rPr>
          <w:sz w:val="28"/>
          <w:szCs w:val="28"/>
        </w:rPr>
        <w:t>закона Приднестр</w:t>
      </w:r>
      <w:r>
        <w:rPr>
          <w:sz w:val="28"/>
          <w:szCs w:val="28"/>
        </w:rPr>
        <w:t>овской Молдавской Республики «</w:t>
      </w:r>
      <w:r w:rsidRPr="00F96633">
        <w:rPr>
          <w:sz w:val="28"/>
          <w:szCs w:val="28"/>
        </w:rPr>
        <w:t>О внесении дополнения в Гражданский кодекс Приднестровской Молдавской Республики</w:t>
      </w:r>
      <w:r>
        <w:rPr>
          <w:sz w:val="28"/>
          <w:szCs w:val="28"/>
        </w:rPr>
        <w:t>»</w:t>
      </w:r>
    </w:p>
    <w:p w:rsidR="00A06EBB" w:rsidRDefault="00A06EBB" w:rsidP="00A06EBB">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5029"/>
      </w:tblGrid>
      <w:tr w:rsidR="00A06EBB" w:rsidRPr="00125353" w:rsidTr="00D04735">
        <w:trPr>
          <w:jc w:val="center"/>
        </w:trPr>
        <w:tc>
          <w:tcPr>
            <w:tcW w:w="4426" w:type="dxa"/>
          </w:tcPr>
          <w:p w:rsidR="00A06EBB" w:rsidRPr="00125353" w:rsidRDefault="00A06EBB" w:rsidP="00D04735">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5150" w:type="dxa"/>
          </w:tcPr>
          <w:p w:rsidR="00A06EBB" w:rsidRPr="00125353" w:rsidRDefault="00A06EBB" w:rsidP="00D04735">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A06EBB" w:rsidRPr="00125353" w:rsidTr="00D04735">
        <w:trPr>
          <w:trHeight w:val="5749"/>
          <w:jc w:val="center"/>
        </w:trPr>
        <w:tc>
          <w:tcPr>
            <w:tcW w:w="4426" w:type="dxa"/>
          </w:tcPr>
          <w:p w:rsidR="00A06EBB" w:rsidRPr="009E32C1" w:rsidRDefault="00A06EBB" w:rsidP="00D04735">
            <w:pPr>
              <w:jc w:val="both"/>
              <w:rPr>
                <w:b/>
                <w:sz w:val="28"/>
                <w:szCs w:val="28"/>
              </w:rPr>
            </w:pPr>
            <w:r w:rsidRPr="009E32C1">
              <w:rPr>
                <w:b/>
                <w:sz w:val="28"/>
                <w:szCs w:val="28"/>
              </w:rPr>
              <w:t>отсутствует</w:t>
            </w:r>
          </w:p>
          <w:p w:rsidR="00A06EBB" w:rsidRDefault="00A06EBB" w:rsidP="00D04735">
            <w:pPr>
              <w:pStyle w:val="a3"/>
              <w:jc w:val="both"/>
              <w:rPr>
                <w:rFonts w:ascii="Times New Roman" w:hAnsi="Times New Roman"/>
                <w:sz w:val="28"/>
                <w:szCs w:val="28"/>
              </w:rPr>
            </w:pPr>
          </w:p>
          <w:p w:rsidR="00A06EBB" w:rsidRPr="006E45AF" w:rsidRDefault="00A06EBB" w:rsidP="00D04735">
            <w:pPr>
              <w:ind w:firstLine="678"/>
              <w:jc w:val="both"/>
              <w:rPr>
                <w:sz w:val="28"/>
                <w:szCs w:val="28"/>
              </w:rPr>
            </w:pPr>
          </w:p>
        </w:tc>
        <w:tc>
          <w:tcPr>
            <w:tcW w:w="5150" w:type="dxa"/>
          </w:tcPr>
          <w:p w:rsidR="00A06EBB" w:rsidRPr="009E32C1" w:rsidRDefault="00A06EBB" w:rsidP="00D04735">
            <w:pPr>
              <w:autoSpaceDE w:val="0"/>
              <w:autoSpaceDN w:val="0"/>
              <w:adjustRightInd w:val="0"/>
              <w:ind w:firstLine="709"/>
              <w:jc w:val="both"/>
              <w:rPr>
                <w:rFonts w:eastAsia="Calibri"/>
                <w:sz w:val="28"/>
                <w:szCs w:val="28"/>
              </w:rPr>
            </w:pPr>
            <w:r w:rsidRPr="009E32C1">
              <w:rPr>
                <w:rFonts w:eastAsia="Calibri"/>
                <w:b/>
                <w:sz w:val="28"/>
                <w:szCs w:val="28"/>
              </w:rPr>
              <w:t>Статья 336-1.</w:t>
            </w:r>
            <w:r w:rsidRPr="009E32C1">
              <w:rPr>
                <w:rFonts w:eastAsia="Calibri"/>
                <w:sz w:val="28"/>
                <w:szCs w:val="28"/>
              </w:rPr>
              <w:t xml:space="preserve"> Погашение требований по однородным обязательствам</w:t>
            </w:r>
          </w:p>
          <w:p w:rsidR="00A06EBB" w:rsidRPr="009E32C1" w:rsidRDefault="00A06EBB" w:rsidP="00D04735">
            <w:pPr>
              <w:autoSpaceDE w:val="0"/>
              <w:autoSpaceDN w:val="0"/>
              <w:adjustRightInd w:val="0"/>
              <w:ind w:firstLine="709"/>
              <w:jc w:val="both"/>
              <w:rPr>
                <w:rFonts w:eastAsia="Calibri"/>
                <w:sz w:val="28"/>
                <w:szCs w:val="28"/>
              </w:rPr>
            </w:pPr>
          </w:p>
          <w:p w:rsidR="00A06EBB" w:rsidRPr="009E32C1" w:rsidRDefault="00A06EBB" w:rsidP="00D04735">
            <w:pPr>
              <w:autoSpaceDE w:val="0"/>
              <w:autoSpaceDN w:val="0"/>
              <w:adjustRightInd w:val="0"/>
              <w:ind w:firstLine="709"/>
              <w:jc w:val="both"/>
              <w:rPr>
                <w:rFonts w:eastAsia="Calibri"/>
                <w:sz w:val="28"/>
                <w:szCs w:val="28"/>
              </w:rPr>
            </w:pPr>
            <w:r w:rsidRPr="009E32C1">
              <w:rPr>
                <w:rFonts w:eastAsia="Calibri"/>
                <w:sz w:val="28"/>
                <w:szCs w:val="28"/>
              </w:rP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A06EBB" w:rsidRPr="009E32C1" w:rsidRDefault="00A06EBB" w:rsidP="00D04735">
            <w:pPr>
              <w:autoSpaceDE w:val="0"/>
              <w:autoSpaceDN w:val="0"/>
              <w:adjustRightInd w:val="0"/>
              <w:ind w:firstLine="709"/>
              <w:jc w:val="both"/>
              <w:rPr>
                <w:rFonts w:eastAsia="Calibri"/>
                <w:sz w:val="28"/>
                <w:szCs w:val="28"/>
              </w:rPr>
            </w:pPr>
            <w:r w:rsidRPr="009E32C1">
              <w:rPr>
                <w:rFonts w:eastAsia="Calibri"/>
                <w:sz w:val="28"/>
                <w:szCs w:val="28"/>
              </w:rP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A06EBB" w:rsidRPr="00055FAA" w:rsidRDefault="00A06EBB" w:rsidP="00D04735">
            <w:pPr>
              <w:pStyle w:val="a3"/>
              <w:jc w:val="both"/>
              <w:rPr>
                <w:sz w:val="28"/>
                <w:szCs w:val="28"/>
              </w:rPr>
            </w:pPr>
            <w:r>
              <w:rPr>
                <w:rFonts w:ascii="Times New Roman" w:eastAsia="Calibri" w:hAnsi="Times New Roman" w:cs="Times New Roman"/>
                <w:sz w:val="28"/>
                <w:szCs w:val="28"/>
              </w:rPr>
              <w:t xml:space="preserve">           </w:t>
            </w:r>
            <w:r w:rsidRPr="009E32C1">
              <w:rPr>
                <w:rFonts w:ascii="Times New Roman" w:eastAsia="Calibri" w:hAnsi="Times New Roman" w:cs="Times New Roman"/>
                <w:sz w:val="28"/>
                <w:szCs w:val="28"/>
              </w:rP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tc>
      </w:tr>
    </w:tbl>
    <w:p w:rsidR="000E5E67" w:rsidRDefault="00A06EBB">
      <w:r w:rsidRPr="00E27E7E">
        <w:br w:type="page"/>
      </w:r>
      <w:bookmarkStart w:id="0" w:name="_GoBack"/>
      <w:bookmarkEnd w:id="0"/>
    </w:p>
    <w:sectPr w:rsidR="000E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BB"/>
    <w:rsid w:val="000E5E67"/>
    <w:rsid w:val="00975DDD"/>
    <w:rsid w:val="00A0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AE74-4644-439B-A0FF-8AB3D48D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E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6E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EBB"/>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rsid w:val="00A06EBB"/>
    <w:rPr>
      <w:rFonts w:ascii="Courier New" w:hAnsi="Courier New" w:cs="Courier New"/>
      <w:sz w:val="20"/>
      <w:szCs w:val="20"/>
    </w:rPr>
  </w:style>
  <w:style w:type="character" w:customStyle="1" w:styleId="a4">
    <w:name w:val="Текст Знак"/>
    <w:basedOn w:val="a0"/>
    <w:uiPriority w:val="99"/>
    <w:semiHidden/>
    <w:rsid w:val="00A06EBB"/>
    <w:rPr>
      <w:rFonts w:ascii="Consolas" w:eastAsia="Times New Roman" w:hAnsi="Consolas" w:cs="Times New Roman"/>
      <w:sz w:val="21"/>
      <w:szCs w:val="21"/>
      <w:lang w:eastAsia="ru-RU"/>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link w:val="a3"/>
    <w:rsid w:val="00A06EB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Куруч Лилия Ивановна</dc:creator>
  <cp:keywords/>
  <dc:description/>
  <cp:lastModifiedBy>Куруч Лилия Ивановна</cp:lastModifiedBy>
  <cp:revision>1</cp:revision>
  <dcterms:created xsi:type="dcterms:W3CDTF">2022-10-04T06:15:00Z</dcterms:created>
  <dcterms:modified xsi:type="dcterms:W3CDTF">2022-10-04T06:15:00Z</dcterms:modified>
</cp:coreProperties>
</file>