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7C" w:rsidRDefault="001E3B7C" w:rsidP="001E3B7C">
      <w:pPr>
        <w:jc w:val="center"/>
        <w:rPr>
          <w:b/>
        </w:rPr>
      </w:pPr>
      <w:r>
        <w:rPr>
          <w:b/>
        </w:rPr>
        <w:t>СРАВНИТЕЛЬНАЯ ТАБЛИЦА</w:t>
      </w:r>
    </w:p>
    <w:p w:rsidR="001E3B7C" w:rsidRPr="002F4835" w:rsidRDefault="005E3E83" w:rsidP="001E3B7C">
      <w:pPr>
        <w:jc w:val="center"/>
        <w:rPr>
          <w:b/>
        </w:rPr>
      </w:pPr>
      <w:r w:rsidRPr="002F4835">
        <w:rPr>
          <w:b/>
        </w:rPr>
        <w:t>к проекту з</w:t>
      </w:r>
      <w:r w:rsidR="001E3B7C" w:rsidRPr="002F4835">
        <w:rPr>
          <w:b/>
        </w:rPr>
        <w:t>акона Приднестровской Молдавской Республики</w:t>
      </w:r>
    </w:p>
    <w:p w:rsidR="002F4835" w:rsidRDefault="001E3B7C" w:rsidP="001E3B7C">
      <w:pPr>
        <w:pStyle w:val="a6"/>
        <w:jc w:val="center"/>
        <w:rPr>
          <w:rFonts w:ascii="Times New Roman" w:hAnsi="Times New Roman"/>
          <w:b/>
          <w:color w:val="000000"/>
          <w:sz w:val="24"/>
          <w:szCs w:val="24"/>
        </w:rPr>
      </w:pPr>
      <w:r w:rsidRPr="002F4835">
        <w:rPr>
          <w:rFonts w:ascii="Times New Roman" w:hAnsi="Times New Roman"/>
          <w:b/>
          <w:color w:val="000000"/>
          <w:sz w:val="24"/>
          <w:szCs w:val="24"/>
        </w:rPr>
        <w:t xml:space="preserve">«О внесении дополнения в Уголовный кодекс  </w:t>
      </w:r>
    </w:p>
    <w:p w:rsidR="001E3B7C" w:rsidRPr="002F4835" w:rsidRDefault="001E3B7C" w:rsidP="001E3B7C">
      <w:pPr>
        <w:pStyle w:val="a6"/>
        <w:jc w:val="center"/>
        <w:rPr>
          <w:rFonts w:ascii="Times New Roman" w:hAnsi="Times New Roman"/>
          <w:b/>
          <w:color w:val="000000"/>
          <w:sz w:val="24"/>
          <w:szCs w:val="24"/>
        </w:rPr>
      </w:pPr>
      <w:r w:rsidRPr="002F4835">
        <w:rPr>
          <w:rFonts w:ascii="Times New Roman" w:hAnsi="Times New Roman"/>
          <w:b/>
          <w:color w:val="000000"/>
          <w:sz w:val="24"/>
          <w:szCs w:val="24"/>
        </w:rPr>
        <w:t>Приднестровской Молдавской Республики</w:t>
      </w:r>
      <w:r w:rsidRPr="002F4835">
        <w:rPr>
          <w:rFonts w:ascii="Times New Roman" w:hAnsi="Times New Roman"/>
          <w:b/>
          <w:sz w:val="24"/>
          <w:szCs w:val="24"/>
        </w:rPr>
        <w:t xml:space="preserve">» </w:t>
      </w:r>
    </w:p>
    <w:p w:rsidR="001E3B7C" w:rsidRDefault="001E3B7C" w:rsidP="001E3B7C">
      <w:pPr>
        <w:pStyle w:val="a6"/>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1E3B7C" w:rsidTr="001E3B7C">
        <w:tc>
          <w:tcPr>
            <w:tcW w:w="4927" w:type="dxa"/>
            <w:tcBorders>
              <w:top w:val="single" w:sz="4" w:space="0" w:color="auto"/>
              <w:left w:val="single" w:sz="4" w:space="0" w:color="auto"/>
              <w:bottom w:val="single" w:sz="4" w:space="0" w:color="auto"/>
              <w:right w:val="single" w:sz="4" w:space="0" w:color="auto"/>
            </w:tcBorders>
            <w:hideMark/>
          </w:tcPr>
          <w:p w:rsidR="001E3B7C" w:rsidRDefault="001E3B7C">
            <w:pPr>
              <w:jc w:val="both"/>
              <w:rPr>
                <w:b/>
              </w:rPr>
            </w:pPr>
            <w:r>
              <w:rPr>
                <w:b/>
              </w:rPr>
              <w:t>Действующая редакция</w:t>
            </w:r>
          </w:p>
        </w:tc>
        <w:tc>
          <w:tcPr>
            <w:tcW w:w="4927" w:type="dxa"/>
            <w:tcBorders>
              <w:top w:val="single" w:sz="4" w:space="0" w:color="auto"/>
              <w:left w:val="single" w:sz="4" w:space="0" w:color="auto"/>
              <w:bottom w:val="single" w:sz="4" w:space="0" w:color="auto"/>
              <w:right w:val="single" w:sz="4" w:space="0" w:color="auto"/>
            </w:tcBorders>
            <w:hideMark/>
          </w:tcPr>
          <w:p w:rsidR="001E3B7C" w:rsidRDefault="001E3B7C">
            <w:pPr>
              <w:jc w:val="both"/>
              <w:rPr>
                <w:b/>
              </w:rPr>
            </w:pPr>
            <w:r>
              <w:rPr>
                <w:b/>
              </w:rPr>
              <w:t>Предлагаемая редакция</w:t>
            </w:r>
          </w:p>
        </w:tc>
      </w:tr>
      <w:tr w:rsidR="001E3B7C" w:rsidTr="001E3B7C">
        <w:tc>
          <w:tcPr>
            <w:tcW w:w="4927" w:type="dxa"/>
            <w:tcBorders>
              <w:top w:val="single" w:sz="4" w:space="0" w:color="auto"/>
              <w:left w:val="single" w:sz="4" w:space="0" w:color="auto"/>
              <w:bottom w:val="single" w:sz="4" w:space="0" w:color="auto"/>
              <w:right w:val="single" w:sz="4" w:space="0" w:color="auto"/>
            </w:tcBorders>
          </w:tcPr>
          <w:p w:rsidR="001E3B7C" w:rsidRDefault="00BD38DB">
            <w:pPr>
              <w:ind w:firstLine="720"/>
              <w:jc w:val="both"/>
              <w:outlineLvl w:val="0"/>
              <w:rPr>
                <w:b/>
              </w:rPr>
            </w:pPr>
            <w:r>
              <w:rPr>
                <w:b/>
              </w:rPr>
              <w:t>Статья 260-3</w:t>
            </w:r>
            <w:r w:rsidR="001E3B7C">
              <w:rPr>
                <w:b/>
              </w:rPr>
              <w:t>.</w:t>
            </w:r>
          </w:p>
          <w:p w:rsidR="001E3B7C" w:rsidRDefault="001E3B7C">
            <w:pPr>
              <w:ind w:firstLine="720"/>
              <w:jc w:val="both"/>
              <w:outlineLvl w:val="0"/>
              <w:rPr>
                <w:rStyle w:val="a8"/>
                <w:color w:val="000000"/>
                <w:shd w:val="clear" w:color="auto" w:fill="FFFFFF"/>
              </w:rPr>
            </w:pPr>
            <w:r>
              <w:rPr>
                <w:b/>
              </w:rPr>
              <w:t xml:space="preserve">отсутствует </w:t>
            </w:r>
            <w:r>
              <w:t xml:space="preserve"> </w:t>
            </w:r>
          </w:p>
          <w:p w:rsidR="001E3B7C" w:rsidRDefault="001E3B7C">
            <w:pPr>
              <w:pStyle w:val="a3"/>
              <w:shd w:val="clear" w:color="auto" w:fill="FFFFFF"/>
              <w:spacing w:before="0" w:beforeAutospacing="0" w:after="150" w:afterAutospacing="0" w:line="300" w:lineRule="atLeast"/>
              <w:ind w:firstLine="360"/>
              <w:jc w:val="both"/>
              <w:rPr>
                <w:rStyle w:val="a8"/>
                <w:color w:val="000000"/>
                <w:shd w:val="clear" w:color="auto" w:fill="FFFFFF"/>
              </w:rPr>
            </w:pPr>
          </w:p>
          <w:p w:rsidR="001E3B7C" w:rsidRDefault="001E3B7C">
            <w:pPr>
              <w:pStyle w:val="a3"/>
              <w:shd w:val="clear" w:color="auto" w:fill="FFFFFF"/>
              <w:spacing w:before="0" w:beforeAutospacing="0" w:after="150" w:afterAutospacing="0" w:line="300" w:lineRule="atLeast"/>
              <w:ind w:firstLine="360"/>
              <w:jc w:val="both"/>
              <w:rPr>
                <w:rStyle w:val="a8"/>
                <w:shd w:val="clear" w:color="auto" w:fill="FFFFFF"/>
              </w:rPr>
            </w:pPr>
          </w:p>
          <w:p w:rsidR="001E3B7C" w:rsidRDefault="001E3B7C">
            <w:pPr>
              <w:jc w:val="both"/>
            </w:pPr>
          </w:p>
          <w:p w:rsidR="001E3B7C" w:rsidRDefault="001E3B7C">
            <w:pPr>
              <w:jc w:val="both"/>
            </w:pPr>
          </w:p>
          <w:p w:rsidR="001E3B7C" w:rsidRDefault="001E3B7C">
            <w:pPr>
              <w:jc w:val="both"/>
            </w:pPr>
          </w:p>
          <w:p w:rsidR="001E3B7C" w:rsidRDefault="001E3B7C">
            <w:pPr>
              <w:jc w:val="both"/>
            </w:pPr>
          </w:p>
          <w:p w:rsidR="001E3B7C" w:rsidRDefault="001E3B7C">
            <w:pPr>
              <w:jc w:val="both"/>
            </w:pPr>
          </w:p>
          <w:p w:rsidR="001E3B7C" w:rsidRDefault="001E3B7C">
            <w:pPr>
              <w:jc w:val="both"/>
              <w:rPr>
                <w:b/>
              </w:rPr>
            </w:pPr>
            <w:r>
              <w:br w:type="column"/>
            </w:r>
          </w:p>
        </w:tc>
        <w:tc>
          <w:tcPr>
            <w:tcW w:w="4927" w:type="dxa"/>
            <w:tcBorders>
              <w:top w:val="single" w:sz="4" w:space="0" w:color="auto"/>
              <w:left w:val="single" w:sz="4" w:space="0" w:color="auto"/>
              <w:bottom w:val="single" w:sz="4" w:space="0" w:color="auto"/>
              <w:right w:val="single" w:sz="4" w:space="0" w:color="auto"/>
            </w:tcBorders>
            <w:hideMark/>
          </w:tcPr>
          <w:p w:rsidR="00E54DEA" w:rsidRDefault="001E3B7C" w:rsidP="00E54DEA">
            <w:pPr>
              <w:ind w:firstLine="720"/>
              <w:jc w:val="both"/>
            </w:pPr>
            <w:r>
              <w:rPr>
                <w:b/>
              </w:rPr>
              <w:t xml:space="preserve">Статья </w:t>
            </w:r>
            <w:r w:rsidR="00BD38DB">
              <w:rPr>
                <w:b/>
              </w:rPr>
              <w:t>260-3</w:t>
            </w:r>
            <w:r>
              <w:rPr>
                <w:b/>
              </w:rPr>
              <w:t>.</w:t>
            </w:r>
            <w:r>
              <w:t xml:space="preserve"> </w:t>
            </w:r>
            <w:r w:rsidR="00E54DEA">
              <w:t xml:space="preserve"> </w:t>
            </w:r>
            <w:r w:rsidR="00E54DEA">
              <w:rPr>
                <w:rFonts w:eastAsiaTheme="minorHAnsi"/>
                <w:color w:val="000000"/>
                <w:lang w:eastAsia="en-US"/>
              </w:rPr>
              <w:t>Передача управления транспортным средством лицу, не имеющему права уп</w:t>
            </w:r>
            <w:r w:rsidR="00C52E21">
              <w:rPr>
                <w:rFonts w:eastAsiaTheme="minorHAnsi"/>
                <w:color w:val="000000"/>
                <w:lang w:eastAsia="en-US"/>
              </w:rPr>
              <w:t>равления транспортным средством</w:t>
            </w:r>
            <w:r w:rsidR="00E54DEA">
              <w:t xml:space="preserve"> </w:t>
            </w:r>
          </w:p>
          <w:p w:rsidR="00831F46" w:rsidRDefault="00E54DEA" w:rsidP="00E54DEA">
            <w:pPr>
              <w:ind w:firstLine="720"/>
              <w:jc w:val="both"/>
            </w:pPr>
            <w:r>
              <w:t xml:space="preserve">1. Передача управления транспортным средством </w:t>
            </w:r>
            <w:r>
              <w:rPr>
                <w:rFonts w:eastAsiaTheme="minorHAnsi"/>
                <w:color w:val="000000"/>
                <w:lang w:eastAsia="en-US"/>
              </w:rPr>
              <w:t>лицу, не имеющему права управления транспортным средством</w:t>
            </w:r>
            <w:r>
              <w:t xml:space="preserve">, если это деяние повлекло по неосторожности причинение тяжкого вреда здоровью человека, </w:t>
            </w:r>
            <w:r w:rsidR="00631088">
              <w:t>–</w:t>
            </w:r>
          </w:p>
          <w:p w:rsidR="00E54DEA" w:rsidRDefault="00E54DEA" w:rsidP="00E54DEA">
            <w:pPr>
              <w:ind w:firstLine="720"/>
              <w:jc w:val="both"/>
            </w:pPr>
            <w:r>
              <w:t>наказывается обязательными работами на срок от 180 (ста восьмидесяти) до 240 (двухсот сорока) часов либо лишением свободы на срок до 2 (двух) лет с лишением права занимать определенные должности или заниматься определенной деятельностью на срок до 3 (трех) лет или без такового.</w:t>
            </w:r>
          </w:p>
          <w:p w:rsidR="001E3B7C" w:rsidRDefault="001E3B7C">
            <w:pPr>
              <w:pStyle w:val="a5"/>
              <w:ind w:firstLine="720"/>
              <w:jc w:val="both"/>
              <w:rPr>
                <w:rFonts w:ascii="Times New Roman" w:hAnsi="Times New Roman"/>
                <w:szCs w:val="24"/>
                <w:lang w:val="ru-RU" w:eastAsia="ru-RU"/>
              </w:rPr>
            </w:pPr>
            <w:r>
              <w:rPr>
                <w:rFonts w:ascii="Times New Roman" w:hAnsi="Times New Roman"/>
                <w:szCs w:val="24"/>
                <w:lang w:val="ru-RU" w:eastAsia="ru-RU"/>
              </w:rPr>
              <w:t>2. Деяние, предусмотренное частью первой настоящей статьи, повлекшее по н</w:t>
            </w:r>
            <w:r w:rsidR="00631088">
              <w:rPr>
                <w:rFonts w:ascii="Times New Roman" w:hAnsi="Times New Roman"/>
                <w:szCs w:val="24"/>
                <w:lang w:val="ru-RU" w:eastAsia="ru-RU"/>
              </w:rPr>
              <w:t>еосторожности смерть человека, –</w:t>
            </w:r>
            <w:r>
              <w:rPr>
                <w:rFonts w:ascii="Times New Roman" w:hAnsi="Times New Roman"/>
                <w:szCs w:val="24"/>
                <w:lang w:val="ru-RU" w:eastAsia="ru-RU"/>
              </w:rPr>
              <w:t xml:space="preserve"> </w:t>
            </w:r>
          </w:p>
          <w:p w:rsidR="001E3B7C" w:rsidRDefault="001E3B7C">
            <w:pPr>
              <w:pStyle w:val="a5"/>
              <w:ind w:firstLine="720"/>
              <w:jc w:val="both"/>
              <w:rPr>
                <w:rFonts w:ascii="Times New Roman" w:hAnsi="Times New Roman"/>
                <w:szCs w:val="24"/>
                <w:lang w:val="ru-RU" w:eastAsia="ru-RU"/>
              </w:rPr>
            </w:pPr>
            <w:r>
              <w:rPr>
                <w:rFonts w:ascii="Times New Roman" w:hAnsi="Times New Roman"/>
                <w:szCs w:val="24"/>
                <w:lang w:val="ru-RU" w:eastAsia="ru-RU"/>
              </w:rPr>
              <w:t>наказывается лишением свободы на срок до 5 (пяти) лет с лишением права занимать определенные должности или заниматься определенной деятельностью на срок до 5 (пяти) лет.</w:t>
            </w:r>
          </w:p>
          <w:p w:rsidR="001E3B7C" w:rsidRDefault="001E3B7C">
            <w:pPr>
              <w:ind w:firstLine="720"/>
              <w:jc w:val="both"/>
              <w:rPr>
                <w:bCs/>
              </w:rPr>
            </w:pPr>
            <w:r>
              <w:rPr>
                <w:bCs/>
              </w:rPr>
              <w:t>3. Деяние, предусмотренное частью первой настоящей статьи, повлекшее по неосторожно</w:t>
            </w:r>
            <w:r w:rsidR="00631088">
              <w:rPr>
                <w:bCs/>
              </w:rPr>
              <w:t>сти смерть двух или более лиц, –</w:t>
            </w:r>
          </w:p>
          <w:p w:rsidR="001E3B7C" w:rsidRDefault="001E3B7C">
            <w:pPr>
              <w:pStyle w:val="a3"/>
              <w:shd w:val="clear" w:color="auto" w:fill="FFFFFF"/>
              <w:spacing w:before="0" w:beforeAutospacing="0" w:after="150" w:afterAutospacing="0" w:line="300" w:lineRule="atLeast"/>
              <w:ind w:firstLine="743"/>
              <w:jc w:val="both"/>
            </w:pPr>
            <w:r>
              <w:t>наказывается лишением свободы на срок от 3 (трех) до 7 (семи) лет с лишением права занимать определенные должности или заниматься определенной деятельностью на срок от 5 (пяти) до 7 (семи) лет.</w:t>
            </w:r>
          </w:p>
        </w:tc>
      </w:tr>
    </w:tbl>
    <w:p w:rsidR="001E3B7C" w:rsidRDefault="001E3B7C" w:rsidP="001E3B7C">
      <w:pPr>
        <w:jc w:val="both"/>
      </w:pPr>
    </w:p>
    <w:p w:rsidR="001E3B7C" w:rsidRDefault="001E3B7C" w:rsidP="001E3B7C">
      <w:pPr>
        <w:jc w:val="both"/>
      </w:pPr>
    </w:p>
    <w:p w:rsidR="001E3B7C" w:rsidRDefault="001E3B7C" w:rsidP="001E3B7C">
      <w:pPr>
        <w:jc w:val="both"/>
      </w:pPr>
    </w:p>
    <w:p w:rsidR="001E3B7C" w:rsidRDefault="001E3B7C" w:rsidP="001E3B7C">
      <w:pPr>
        <w:jc w:val="both"/>
      </w:pPr>
    </w:p>
    <w:p w:rsidR="00B7661C" w:rsidRDefault="00B7661C"/>
    <w:p w:rsidR="001E3B7C" w:rsidRDefault="001E3B7C"/>
    <w:p w:rsidR="001E3B7C" w:rsidRDefault="001E3B7C"/>
    <w:p w:rsidR="001E3B7C" w:rsidRDefault="001E3B7C"/>
    <w:p w:rsidR="001E3B7C" w:rsidRDefault="001E3B7C"/>
    <w:p w:rsidR="001E3B7C" w:rsidRDefault="001E3B7C"/>
    <w:p w:rsidR="001E3B7C" w:rsidRPr="001E3B7C" w:rsidRDefault="001E3B7C" w:rsidP="001E3B7C">
      <w:pPr>
        <w:jc w:val="both"/>
        <w:rPr>
          <w:b/>
        </w:rPr>
      </w:pPr>
    </w:p>
    <w:p w:rsidR="00E54DEA" w:rsidRDefault="00E54DEA" w:rsidP="001E3B7C">
      <w:pPr>
        <w:jc w:val="center"/>
        <w:rPr>
          <w:b/>
        </w:rPr>
      </w:pPr>
    </w:p>
    <w:p w:rsidR="00E54DEA" w:rsidRDefault="00E54DEA" w:rsidP="00631088">
      <w:pPr>
        <w:rPr>
          <w:b/>
        </w:rPr>
      </w:pPr>
      <w:bookmarkStart w:id="0" w:name="_GoBack"/>
      <w:bookmarkEnd w:id="0"/>
    </w:p>
    <w:sectPr w:rsidR="00E54DEA" w:rsidSect="007538BD">
      <w:pgSz w:w="11906" w:h="16838"/>
      <w:pgMar w:top="56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3B"/>
    <w:rsid w:val="00060257"/>
    <w:rsid w:val="001E3B7C"/>
    <w:rsid w:val="002F4835"/>
    <w:rsid w:val="00386C3B"/>
    <w:rsid w:val="005D0A9C"/>
    <w:rsid w:val="005E3E83"/>
    <w:rsid w:val="00631088"/>
    <w:rsid w:val="007445B9"/>
    <w:rsid w:val="007538BD"/>
    <w:rsid w:val="00831F46"/>
    <w:rsid w:val="009417BC"/>
    <w:rsid w:val="00A5126B"/>
    <w:rsid w:val="00B7661C"/>
    <w:rsid w:val="00BD38DB"/>
    <w:rsid w:val="00C52E21"/>
    <w:rsid w:val="00DE4530"/>
    <w:rsid w:val="00E5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B7C"/>
    <w:pPr>
      <w:ind w:firstLine="0"/>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3B7C"/>
    <w:pPr>
      <w:spacing w:before="100" w:beforeAutospacing="1" w:after="100" w:afterAutospacing="1"/>
    </w:pPr>
  </w:style>
  <w:style w:type="character" w:customStyle="1" w:styleId="a4">
    <w:name w:val="Текст Знак"/>
    <w:aliases w:val="Знак Знак1,Знак Знак Знак Знак,Текст Знак2 Знак,Текст Знак1 Знак Знак Знак,Текст Знак Знак Знак Знак Знак,Знак Знак Знак Знак Знак Знак,Знак Знак Знак Знак1 Знак,Знак Знак Знак1,Текст Знак1 Знак1 Знак,Знак3 Знак,Зна Знак"/>
    <w:basedOn w:val="a0"/>
    <w:link w:val="a5"/>
    <w:semiHidden/>
    <w:locked/>
    <w:rsid w:val="001E3B7C"/>
    <w:rPr>
      <w:rFonts w:ascii="Courier New" w:hAnsi="Courier New" w:cs="Courier New"/>
      <w:lang w:val="x-none" w:eastAsia="x-none"/>
    </w:rPr>
  </w:style>
  <w:style w:type="paragraph" w:styleId="a5">
    <w:name w:val="Plain Text"/>
    <w:aliases w:val="Знак,Знак Знак Знак,Текст Знак2,Текст Знак1 Знак Знак,Текст Знак Знак Знак Знак,Знак Знак Знак Знак Знак,Знак Знак Знак Знак1,Знак Знак,Текст Знак1 Знак1,Знак3,Зна"/>
    <w:basedOn w:val="a"/>
    <w:link w:val="a4"/>
    <w:semiHidden/>
    <w:unhideWhenUsed/>
    <w:rsid w:val="001E3B7C"/>
    <w:rPr>
      <w:rFonts w:ascii="Courier New" w:eastAsiaTheme="minorHAnsi" w:hAnsi="Courier New" w:cs="Courier New"/>
      <w:szCs w:val="22"/>
      <w:lang w:val="x-none" w:eastAsia="x-none"/>
    </w:rPr>
  </w:style>
  <w:style w:type="character" w:customStyle="1" w:styleId="1">
    <w:name w:val="Текст Знак1"/>
    <w:basedOn w:val="a0"/>
    <w:uiPriority w:val="99"/>
    <w:semiHidden/>
    <w:rsid w:val="001E3B7C"/>
    <w:rPr>
      <w:rFonts w:ascii="Consolas" w:eastAsia="Times New Roman" w:hAnsi="Consolas" w:cs="Times New Roman"/>
      <w:sz w:val="21"/>
      <w:szCs w:val="21"/>
      <w:lang w:eastAsia="ru-RU"/>
    </w:rPr>
  </w:style>
  <w:style w:type="paragraph" w:styleId="a6">
    <w:name w:val="No Spacing"/>
    <w:uiPriority w:val="99"/>
    <w:qFormat/>
    <w:rsid w:val="001E3B7C"/>
    <w:pPr>
      <w:ind w:firstLine="0"/>
    </w:pPr>
    <w:rPr>
      <w:rFonts w:ascii="Calibri" w:eastAsia="Times New Roman" w:hAnsi="Calibri" w:cs="Times New Roman"/>
      <w:sz w:val="22"/>
      <w:lang w:eastAsia="ru-RU"/>
    </w:rPr>
  </w:style>
  <w:style w:type="character" w:customStyle="1" w:styleId="s2">
    <w:name w:val="s2"/>
    <w:basedOn w:val="a0"/>
    <w:rsid w:val="001E3B7C"/>
  </w:style>
  <w:style w:type="character" w:customStyle="1" w:styleId="a7">
    <w:name w:val="a"/>
    <w:basedOn w:val="a0"/>
    <w:rsid w:val="001E3B7C"/>
  </w:style>
  <w:style w:type="character" w:styleId="a8">
    <w:name w:val="Strong"/>
    <w:basedOn w:val="a0"/>
    <w:qFormat/>
    <w:rsid w:val="001E3B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B7C"/>
    <w:pPr>
      <w:ind w:firstLine="0"/>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3B7C"/>
    <w:pPr>
      <w:spacing w:before="100" w:beforeAutospacing="1" w:after="100" w:afterAutospacing="1"/>
    </w:pPr>
  </w:style>
  <w:style w:type="character" w:customStyle="1" w:styleId="a4">
    <w:name w:val="Текст Знак"/>
    <w:aliases w:val="Знак Знак1,Знак Знак Знак Знак,Текст Знак2 Знак,Текст Знак1 Знак Знак Знак,Текст Знак Знак Знак Знак Знак,Знак Знак Знак Знак Знак Знак,Знак Знак Знак Знак1 Знак,Знак Знак Знак1,Текст Знак1 Знак1 Знак,Знак3 Знак,Зна Знак"/>
    <w:basedOn w:val="a0"/>
    <w:link w:val="a5"/>
    <w:semiHidden/>
    <w:locked/>
    <w:rsid w:val="001E3B7C"/>
    <w:rPr>
      <w:rFonts w:ascii="Courier New" w:hAnsi="Courier New" w:cs="Courier New"/>
      <w:lang w:val="x-none" w:eastAsia="x-none"/>
    </w:rPr>
  </w:style>
  <w:style w:type="paragraph" w:styleId="a5">
    <w:name w:val="Plain Text"/>
    <w:aliases w:val="Знак,Знак Знак Знак,Текст Знак2,Текст Знак1 Знак Знак,Текст Знак Знак Знак Знак,Знак Знак Знак Знак Знак,Знак Знак Знак Знак1,Знак Знак,Текст Знак1 Знак1,Знак3,Зна"/>
    <w:basedOn w:val="a"/>
    <w:link w:val="a4"/>
    <w:semiHidden/>
    <w:unhideWhenUsed/>
    <w:rsid w:val="001E3B7C"/>
    <w:rPr>
      <w:rFonts w:ascii="Courier New" w:eastAsiaTheme="minorHAnsi" w:hAnsi="Courier New" w:cs="Courier New"/>
      <w:szCs w:val="22"/>
      <w:lang w:val="x-none" w:eastAsia="x-none"/>
    </w:rPr>
  </w:style>
  <w:style w:type="character" w:customStyle="1" w:styleId="1">
    <w:name w:val="Текст Знак1"/>
    <w:basedOn w:val="a0"/>
    <w:uiPriority w:val="99"/>
    <w:semiHidden/>
    <w:rsid w:val="001E3B7C"/>
    <w:rPr>
      <w:rFonts w:ascii="Consolas" w:eastAsia="Times New Roman" w:hAnsi="Consolas" w:cs="Times New Roman"/>
      <w:sz w:val="21"/>
      <w:szCs w:val="21"/>
      <w:lang w:eastAsia="ru-RU"/>
    </w:rPr>
  </w:style>
  <w:style w:type="paragraph" w:styleId="a6">
    <w:name w:val="No Spacing"/>
    <w:uiPriority w:val="99"/>
    <w:qFormat/>
    <w:rsid w:val="001E3B7C"/>
    <w:pPr>
      <w:ind w:firstLine="0"/>
    </w:pPr>
    <w:rPr>
      <w:rFonts w:ascii="Calibri" w:eastAsia="Times New Roman" w:hAnsi="Calibri" w:cs="Times New Roman"/>
      <w:sz w:val="22"/>
      <w:lang w:eastAsia="ru-RU"/>
    </w:rPr>
  </w:style>
  <w:style w:type="character" w:customStyle="1" w:styleId="s2">
    <w:name w:val="s2"/>
    <w:basedOn w:val="a0"/>
    <w:rsid w:val="001E3B7C"/>
  </w:style>
  <w:style w:type="character" w:customStyle="1" w:styleId="a7">
    <w:name w:val="a"/>
    <w:basedOn w:val="a0"/>
    <w:rsid w:val="001E3B7C"/>
  </w:style>
  <w:style w:type="character" w:styleId="a8">
    <w:name w:val="Strong"/>
    <w:basedOn w:val="a0"/>
    <w:qFormat/>
    <w:rsid w:val="001E3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86501">
      <w:bodyDiv w:val="1"/>
      <w:marLeft w:val="0"/>
      <w:marRight w:val="0"/>
      <w:marTop w:val="0"/>
      <w:marBottom w:val="0"/>
      <w:divBdr>
        <w:top w:val="none" w:sz="0" w:space="0" w:color="auto"/>
        <w:left w:val="none" w:sz="0" w:space="0" w:color="auto"/>
        <w:bottom w:val="none" w:sz="0" w:space="0" w:color="auto"/>
        <w:right w:val="none" w:sz="0" w:space="0" w:color="auto"/>
      </w:divBdr>
    </w:div>
    <w:div w:id="14133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214</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Ушев Д.</dc:creator>
  <cp:keywords/>
  <dc:description/>
  <cp:lastModifiedBy>Владимир Игориевич Лужанский</cp:lastModifiedBy>
  <cp:revision>17</cp:revision>
  <dcterms:created xsi:type="dcterms:W3CDTF">2022-11-30T12:31:00Z</dcterms:created>
  <dcterms:modified xsi:type="dcterms:W3CDTF">2022-12-19T09:25:00Z</dcterms:modified>
</cp:coreProperties>
</file>