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C4" w:rsidRPr="004D1A06" w:rsidRDefault="00784AC4" w:rsidP="008D20F4">
      <w:pPr>
        <w:ind w:left="4253"/>
        <w:rPr>
          <w:sz w:val="28"/>
          <w:szCs w:val="21"/>
        </w:rPr>
      </w:pPr>
      <w:r w:rsidRPr="004D1A06">
        <w:rPr>
          <w:sz w:val="28"/>
          <w:szCs w:val="21"/>
        </w:rPr>
        <w:t xml:space="preserve">Приложение </w:t>
      </w:r>
    </w:p>
    <w:p w:rsidR="00784AC4" w:rsidRPr="004D1A06" w:rsidRDefault="00784AC4" w:rsidP="008D20F4">
      <w:pPr>
        <w:shd w:val="clear" w:color="auto" w:fill="FFFFFF"/>
        <w:ind w:left="4253"/>
        <w:rPr>
          <w:sz w:val="28"/>
          <w:szCs w:val="21"/>
        </w:rPr>
      </w:pPr>
      <w:r w:rsidRPr="004D1A06">
        <w:rPr>
          <w:sz w:val="28"/>
          <w:szCs w:val="21"/>
        </w:rPr>
        <w:t>к Постановлению Верховного Совета</w:t>
      </w:r>
    </w:p>
    <w:p w:rsidR="00784AC4" w:rsidRPr="004D1A06" w:rsidRDefault="00784AC4" w:rsidP="008D20F4">
      <w:pPr>
        <w:shd w:val="clear" w:color="auto" w:fill="FFFFFF"/>
        <w:ind w:left="4253"/>
        <w:rPr>
          <w:sz w:val="28"/>
          <w:szCs w:val="21"/>
        </w:rPr>
      </w:pPr>
      <w:r w:rsidRPr="004D1A06">
        <w:rPr>
          <w:sz w:val="28"/>
          <w:szCs w:val="21"/>
        </w:rPr>
        <w:t xml:space="preserve">Приднестровской Молдавской </w:t>
      </w:r>
    </w:p>
    <w:p w:rsidR="00784AC4" w:rsidRPr="00ED3FB6" w:rsidRDefault="00784AC4" w:rsidP="008D20F4">
      <w:pPr>
        <w:shd w:val="clear" w:color="auto" w:fill="FFFFFF"/>
        <w:ind w:left="4253"/>
        <w:rPr>
          <w:sz w:val="28"/>
          <w:szCs w:val="21"/>
        </w:rPr>
      </w:pPr>
      <w:r w:rsidRPr="004D1A06">
        <w:rPr>
          <w:sz w:val="28"/>
          <w:szCs w:val="21"/>
        </w:rPr>
        <w:t>Республики</w:t>
      </w:r>
      <w:r w:rsidR="00ED3FB6">
        <w:rPr>
          <w:sz w:val="28"/>
          <w:szCs w:val="21"/>
        </w:rPr>
        <w:t xml:space="preserve"> </w:t>
      </w:r>
      <w:r w:rsidRPr="004D1A06">
        <w:rPr>
          <w:sz w:val="28"/>
          <w:szCs w:val="21"/>
        </w:rPr>
        <w:t xml:space="preserve">от </w:t>
      </w:r>
      <w:r w:rsidR="00ED3FB6">
        <w:rPr>
          <w:sz w:val="28"/>
          <w:szCs w:val="21"/>
        </w:rPr>
        <w:t xml:space="preserve">12 июля </w:t>
      </w:r>
      <w:r w:rsidR="008D20F4">
        <w:rPr>
          <w:sz w:val="28"/>
          <w:szCs w:val="21"/>
        </w:rPr>
        <w:t>2023 года № 2425</w:t>
      </w:r>
      <w:r w:rsidR="00ED3FB6" w:rsidRPr="00ED3FB6">
        <w:rPr>
          <w:b/>
          <w:sz w:val="28"/>
          <w:szCs w:val="28"/>
        </w:rPr>
        <w:t xml:space="preserve"> </w:t>
      </w:r>
      <w:r w:rsidR="00ED3FB6" w:rsidRPr="00ED3FB6">
        <w:rPr>
          <w:sz w:val="28"/>
          <w:szCs w:val="28"/>
        </w:rPr>
        <w:t>«Об утверждении Прогноза социально-экономического развития Приднестровской Молдавской Республики на 2024 год»</w:t>
      </w:r>
    </w:p>
    <w:p w:rsidR="00ED3FB6" w:rsidRPr="004D1A06" w:rsidRDefault="00ED3FB6" w:rsidP="00ED3FB6">
      <w:pPr>
        <w:shd w:val="clear" w:color="auto" w:fill="FFFFFF"/>
        <w:ind w:left="4962"/>
        <w:rPr>
          <w:sz w:val="28"/>
          <w:szCs w:val="28"/>
        </w:rPr>
      </w:pPr>
    </w:p>
    <w:p w:rsidR="00784AC4" w:rsidRPr="004D1A06" w:rsidRDefault="00784AC4" w:rsidP="00784AC4">
      <w:pPr>
        <w:jc w:val="center"/>
        <w:rPr>
          <w:sz w:val="28"/>
          <w:szCs w:val="28"/>
        </w:rPr>
      </w:pPr>
      <w:r w:rsidRPr="004D1A06">
        <w:rPr>
          <w:sz w:val="28"/>
          <w:szCs w:val="28"/>
        </w:rPr>
        <w:t>Прогноз</w:t>
      </w:r>
    </w:p>
    <w:p w:rsidR="00784AC4" w:rsidRPr="004D1A06" w:rsidRDefault="00784AC4" w:rsidP="00784AC4">
      <w:pPr>
        <w:pStyle w:val="4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Pr="004D1A06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 на 2024 год</w:t>
      </w:r>
    </w:p>
    <w:p w:rsidR="00784AC4" w:rsidRPr="004D1A06" w:rsidRDefault="00784AC4" w:rsidP="00784AC4">
      <w:pPr>
        <w:pStyle w:val="4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4D1A06">
        <w:rPr>
          <w:rFonts w:ascii="Times New Roman" w:hAnsi="Times New Roman"/>
          <w:color w:val="auto"/>
          <w:sz w:val="28"/>
          <w:szCs w:val="28"/>
          <w:lang w:eastAsia="en-US"/>
        </w:rPr>
        <w:t>1. Введение</w:t>
      </w:r>
    </w:p>
    <w:p w:rsidR="00784AC4" w:rsidRPr="004D1A06" w:rsidRDefault="00784AC4" w:rsidP="00784AC4">
      <w:pPr>
        <w:pStyle w:val="1"/>
        <w:spacing w:before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Прогноз социально-экономического развития </w:t>
      </w:r>
      <w:r w:rsidR="00B07BF0">
        <w:rPr>
          <w:sz w:val="28"/>
          <w:szCs w:val="28"/>
        </w:rPr>
        <w:t xml:space="preserve">Приднестровской Молдавской Республики </w:t>
      </w:r>
      <w:r w:rsidRPr="004D1A06">
        <w:rPr>
          <w:sz w:val="28"/>
          <w:szCs w:val="28"/>
        </w:rPr>
        <w:t xml:space="preserve">на 2024 год (далее – Прогноз) разработан в соответствии с </w:t>
      </w:r>
      <w:r w:rsidR="00B07BF0">
        <w:rPr>
          <w:sz w:val="28"/>
          <w:szCs w:val="28"/>
        </w:rPr>
        <w:t xml:space="preserve">действующим </w:t>
      </w:r>
      <w:r w:rsidRPr="004D1A06">
        <w:rPr>
          <w:sz w:val="28"/>
          <w:szCs w:val="28"/>
        </w:rPr>
        <w:t xml:space="preserve">законодательством Приднестровской Молдавской Республики, исходя из задач и приоритетов социально-экономического развития, </w:t>
      </w:r>
      <w:r w:rsidRPr="004D1A06">
        <w:rPr>
          <w:sz w:val="28"/>
          <w:szCs w:val="28"/>
          <w:lang w:eastAsia="en-US"/>
        </w:rPr>
        <w:t xml:space="preserve">обозначенных в </w:t>
      </w:r>
      <w:r w:rsidRPr="004D1A06">
        <w:rPr>
          <w:bCs/>
          <w:sz w:val="28"/>
          <w:szCs w:val="28"/>
        </w:rPr>
        <w:t xml:space="preserve">Стратегии развития </w:t>
      </w:r>
      <w:r w:rsidRPr="004D1A06">
        <w:rPr>
          <w:sz w:val="28"/>
          <w:szCs w:val="28"/>
        </w:rPr>
        <w:t>Приднестровской Молдавской Республики на 2019</w:t>
      </w:r>
      <w:r w:rsidR="00F955AA">
        <w:rPr>
          <w:sz w:val="28"/>
          <w:szCs w:val="28"/>
        </w:rPr>
        <w:t>–</w:t>
      </w:r>
      <w:r w:rsidRPr="004D1A06">
        <w:rPr>
          <w:sz w:val="28"/>
          <w:szCs w:val="28"/>
        </w:rPr>
        <w:t>2026 годы, утвержденной Указом Президента Приднестровской Молдавской Республики от 12 декабря 2018 года № 460 (САЗ 18-50)</w:t>
      </w:r>
      <w:r w:rsidRPr="004D1A06">
        <w:rPr>
          <w:sz w:val="28"/>
          <w:szCs w:val="28"/>
          <w:lang w:eastAsia="en-US"/>
        </w:rPr>
        <w:t>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 xml:space="preserve">При разработке Прогноза были использованы официальные данные Государственной службы статистики Министерства экономического развития Приднестровской Молдавской Республики, Государственного таможенного комитета Приднестровской Молдавской Республики, Министерства сельского хозяйства и природных ресурсов Приднестровской Молдавской Республики,  Министерства по социальной защите и труду Приднестровской Молдавской Республики, Приднестровского республиканского банка, аналитическая и прогнозная информация крупных промышленных, торговых, строительных, транспортных организаций республики, экспертные оценки международных финансовых и аналитических институтов. </w:t>
      </w:r>
    </w:p>
    <w:p w:rsidR="00784AC4" w:rsidRPr="004D1A06" w:rsidRDefault="00784AC4" w:rsidP="00784AC4">
      <w:pPr>
        <w:pStyle w:val="4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2. Основные тенденции социально-экономического развития </w:t>
      </w:r>
    </w:p>
    <w:p w:rsidR="00784AC4" w:rsidRPr="004D1A06" w:rsidRDefault="00784AC4" w:rsidP="00784AC4">
      <w:pPr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Приднестровской Молдавской Республики в 2022 году</w:t>
      </w:r>
    </w:p>
    <w:p w:rsidR="00784AC4" w:rsidRPr="004D1A06" w:rsidRDefault="00784AC4" w:rsidP="00784AC4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Восстановительный период приднестровской экономики после пандемии </w:t>
      </w:r>
      <w:proofErr w:type="spellStart"/>
      <w:r w:rsidRPr="004D1A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1A06">
        <w:rPr>
          <w:rFonts w:ascii="Times New Roman" w:hAnsi="Times New Roman" w:cs="Times New Roman"/>
          <w:sz w:val="28"/>
          <w:szCs w:val="28"/>
        </w:rPr>
        <w:t xml:space="preserve"> инфекции COVID-19, отмечаемый в начале </w:t>
      </w:r>
      <w:r w:rsidR="00F955AA">
        <w:rPr>
          <w:rFonts w:ascii="Times New Roman" w:hAnsi="Times New Roman" w:cs="Times New Roman"/>
          <w:sz w:val="28"/>
          <w:szCs w:val="28"/>
        </w:rPr>
        <w:br/>
      </w:r>
      <w:r w:rsidRPr="004D1A06">
        <w:rPr>
          <w:rFonts w:ascii="Times New Roman" w:hAnsi="Times New Roman" w:cs="Times New Roman"/>
          <w:sz w:val="28"/>
          <w:szCs w:val="28"/>
        </w:rPr>
        <w:t>2022 года, был прерван резким ухудшением внешнеполитической и внешнеэкономической ситуации.</w:t>
      </w:r>
    </w:p>
    <w:p w:rsidR="00784AC4" w:rsidRPr="004D1A06" w:rsidRDefault="00784AC4" w:rsidP="00784AC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Дестабилизация экспортно-импортных поставок по «восточному направлению», вызвавшая необходимость поиска новых рынков сбыта и построения значительно удлиненных логистических цепочек, беспрецедентный рост мировых цен на продовольственных и сырьевых </w:t>
      </w:r>
      <w:r w:rsidRPr="004D1A06">
        <w:rPr>
          <w:rFonts w:ascii="Times New Roman" w:hAnsi="Times New Roman" w:cs="Times New Roman"/>
          <w:sz w:val="28"/>
          <w:szCs w:val="28"/>
        </w:rPr>
        <w:lastRenderedPageBreak/>
        <w:t>рынках оказали существенное негативное влияние на динамику экономической активности в 2022 году.</w:t>
      </w:r>
    </w:p>
    <w:p w:rsidR="00784AC4" w:rsidRPr="004D1A06" w:rsidRDefault="00784AC4" w:rsidP="00784AC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D1A06">
        <w:rPr>
          <w:snapToGrid w:val="0"/>
          <w:sz w:val="28"/>
          <w:szCs w:val="28"/>
        </w:rPr>
        <w:t>Деструктивные действия Республики Молдова по усилению «банковской блокады», сопровождавшейся закрытием счетов приднестровских хозяйствующих субъектов в молдавских банках, и созданию дополнительных барьеров, связанных с оформлением разрешительных экологических документов для открытого акционерного общества «Молдавский металлургический завод», а также практически полная остановка в четвертом квартале главных системообразующих организаций в связи с существенным ограничением поставок природного газа на территорию Приднестровской Молдавской Республики обусловили падение объемов промышленного производства по итогам года на 16,3 процента</w:t>
      </w:r>
      <w:r w:rsidR="00B07BF0">
        <w:rPr>
          <w:snapToGrid w:val="0"/>
          <w:sz w:val="28"/>
          <w:szCs w:val="28"/>
        </w:rPr>
        <w:t>,</w:t>
      </w:r>
      <w:r w:rsidRPr="004D1A06">
        <w:rPr>
          <w:snapToGrid w:val="0"/>
          <w:sz w:val="28"/>
          <w:szCs w:val="28"/>
        </w:rPr>
        <w:t xml:space="preserve"> до </w:t>
      </w:r>
      <w:r w:rsidR="00F955AA">
        <w:rPr>
          <w:snapToGrid w:val="0"/>
          <w:sz w:val="28"/>
          <w:szCs w:val="28"/>
        </w:rPr>
        <w:br/>
      </w:r>
      <w:r w:rsidRPr="004D1A06">
        <w:rPr>
          <w:snapToGrid w:val="0"/>
          <w:sz w:val="28"/>
          <w:szCs w:val="28"/>
        </w:rPr>
        <w:t>14 869,4 миллиона рублей Приднестровской Молдавской Республики (далее – рублей).</w:t>
      </w:r>
    </w:p>
    <w:p w:rsidR="00784AC4" w:rsidRPr="004D1A06" w:rsidRDefault="00784AC4" w:rsidP="00784AC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D1A06">
        <w:rPr>
          <w:snapToGrid w:val="0"/>
          <w:sz w:val="28"/>
          <w:szCs w:val="28"/>
        </w:rPr>
        <w:t>Соответственно, снизились и показатели внешнеэкономической деятельности: экспорт сократился на 21,3 процента</w:t>
      </w:r>
      <w:r w:rsidR="00B07BF0">
        <w:rPr>
          <w:snapToGrid w:val="0"/>
          <w:sz w:val="28"/>
          <w:szCs w:val="28"/>
        </w:rPr>
        <w:t>,</w:t>
      </w:r>
      <w:r w:rsidRPr="004D1A06">
        <w:rPr>
          <w:snapToGrid w:val="0"/>
          <w:sz w:val="28"/>
          <w:szCs w:val="28"/>
        </w:rPr>
        <w:t xml:space="preserve"> до 738,3 миллиона долларов Соединенных Штатов Америки (далее – долларов), очищенный импорт – на 16,0 процент</w:t>
      </w:r>
      <w:r w:rsidR="008D1B37">
        <w:rPr>
          <w:snapToGrid w:val="0"/>
          <w:sz w:val="28"/>
          <w:szCs w:val="28"/>
        </w:rPr>
        <w:t>а,</w:t>
      </w:r>
      <w:r w:rsidRPr="004D1A06">
        <w:rPr>
          <w:snapToGrid w:val="0"/>
          <w:sz w:val="28"/>
          <w:szCs w:val="28"/>
        </w:rPr>
        <w:t xml:space="preserve"> до 864,4 миллиона долларов.</w:t>
      </w:r>
    </w:p>
    <w:p w:rsidR="00784AC4" w:rsidRPr="004D1A06" w:rsidRDefault="00784AC4" w:rsidP="00784AC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D1A06">
        <w:rPr>
          <w:snapToGrid w:val="0"/>
          <w:sz w:val="28"/>
          <w:szCs w:val="28"/>
        </w:rPr>
        <w:t>Развернувшаяся во всем мире инфляционная спираль подтолкнула вверх и цены в Приднестровье: по итогам 2022 года инфляция достигла значения 13,2 процента, обновив одиннадцатилетний максимум.</w:t>
      </w:r>
    </w:p>
    <w:p w:rsidR="00784AC4" w:rsidRPr="004D1A06" w:rsidRDefault="00784AC4" w:rsidP="00784AC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D1A06">
        <w:rPr>
          <w:snapToGrid w:val="0"/>
          <w:sz w:val="28"/>
          <w:szCs w:val="28"/>
        </w:rPr>
        <w:t>Повышенный уровень ценового давления на потребителя нивелировал умеренный номинальный рост среднемесячной номинальной начисленной заработной платы в целом по экономике с учетом субъектов малого предпринимательства и некоммерческих организаций (без учета силовых структур и таможенных органов) на 4,8 процента</w:t>
      </w:r>
      <w:r w:rsidR="008D1B37">
        <w:rPr>
          <w:snapToGrid w:val="0"/>
          <w:sz w:val="28"/>
          <w:szCs w:val="28"/>
        </w:rPr>
        <w:t>,</w:t>
      </w:r>
      <w:r w:rsidRPr="004D1A06">
        <w:rPr>
          <w:snapToGrid w:val="0"/>
          <w:sz w:val="28"/>
          <w:szCs w:val="28"/>
        </w:rPr>
        <w:t xml:space="preserve"> до 5 599 рублей, обусловив сокращение реального ее размера на 6,7 процента от уровня 2021 года. Среднесписочная численность работников по итогам 2022 года сократилась до 105,3 тысяч</w:t>
      </w:r>
      <w:r w:rsidR="008D1B37">
        <w:rPr>
          <w:snapToGrid w:val="0"/>
          <w:sz w:val="28"/>
          <w:szCs w:val="28"/>
        </w:rPr>
        <w:t>и</w:t>
      </w:r>
      <w:r w:rsidRPr="004D1A06">
        <w:rPr>
          <w:snapToGrid w:val="0"/>
          <w:sz w:val="28"/>
          <w:szCs w:val="28"/>
        </w:rPr>
        <w:t xml:space="preserve"> человек (против 107,8 тысяч</w:t>
      </w:r>
      <w:r w:rsidR="008D1B37">
        <w:rPr>
          <w:snapToGrid w:val="0"/>
          <w:sz w:val="28"/>
          <w:szCs w:val="28"/>
        </w:rPr>
        <w:t>и</w:t>
      </w:r>
      <w:r w:rsidRPr="004D1A06">
        <w:rPr>
          <w:snapToGrid w:val="0"/>
          <w:sz w:val="28"/>
          <w:szCs w:val="28"/>
        </w:rPr>
        <w:t xml:space="preserve"> человек в 2021 году).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В сельском хозяйстве, вследствие более засушливой погоды и с учетом низкого </w:t>
      </w:r>
      <w:proofErr w:type="spellStart"/>
      <w:r w:rsidRPr="004D1A06">
        <w:rPr>
          <w:sz w:val="28"/>
          <w:szCs w:val="28"/>
        </w:rPr>
        <w:t>влагозаряда</w:t>
      </w:r>
      <w:proofErr w:type="spellEnd"/>
      <w:r w:rsidRPr="004D1A06">
        <w:rPr>
          <w:sz w:val="28"/>
          <w:szCs w:val="28"/>
        </w:rPr>
        <w:t xml:space="preserve"> в почве, показатели урожайности сложились значительно хуже, чем в 2021 году. Однако с учетом ценового фактора стоимостной объем валовой продукции сложился на уровне 91,3 процента к базисной отметке.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napToGrid w:val="0"/>
          <w:sz w:val="28"/>
          <w:szCs w:val="28"/>
        </w:rPr>
        <w:t>Валовый внутренний продукт сократился на 14,7 процента в сопоставимых ценах к уровню 2021 года.</w:t>
      </w:r>
    </w:p>
    <w:p w:rsidR="00784AC4" w:rsidRPr="004D1A06" w:rsidRDefault="00784AC4" w:rsidP="00784AC4">
      <w:pPr>
        <w:pStyle w:val="a4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3. Основные тенденции развития экономики </w:t>
      </w:r>
    </w:p>
    <w:p w:rsidR="00784AC4" w:rsidRPr="004D1A06" w:rsidRDefault="00784AC4" w:rsidP="00784AC4">
      <w:pPr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Приднестровской Молдавской Республики в первом квартале 2023 года</w:t>
      </w:r>
    </w:p>
    <w:p w:rsidR="00784AC4" w:rsidRPr="004D1A06" w:rsidRDefault="00784AC4" w:rsidP="00784AC4">
      <w:pPr>
        <w:jc w:val="center"/>
        <w:rPr>
          <w:bCs/>
          <w:sz w:val="28"/>
          <w:szCs w:val="28"/>
        </w:rPr>
      </w:pP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В первом квартале 2023 года в условиях частичной перестройки и адаптации хозяйствующих субъектов к новым логистическим маршрутам, снижения ценового давления на основных сырьевых рынках сохранение напряженной геополитической обстановки по периметру республики продолжило оказывать отрицательное воздействие на развитие экономической ситуации в Приднестровье.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lastRenderedPageBreak/>
        <w:t>Промышленность</w:t>
      </w: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В индустриальном секторе экономики с начала года фиксировалось снижение интенсивности производственных процессов: объем промышленного производства за январь</w:t>
      </w:r>
      <w:r w:rsidR="008D1B37">
        <w:rPr>
          <w:bCs/>
          <w:sz w:val="28"/>
          <w:szCs w:val="28"/>
        </w:rPr>
        <w:t>–</w:t>
      </w:r>
      <w:r w:rsidRPr="004D1A06">
        <w:rPr>
          <w:bCs/>
          <w:sz w:val="28"/>
          <w:szCs w:val="28"/>
        </w:rPr>
        <w:t xml:space="preserve">март 2023 года составил 3 562,1 миллиона рублей, или 90,3 процента к соответствующему показателю прошлого года. </w:t>
      </w: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Наибольшее влияние на сокращение итогового показателя оказали отрицательные результаты производства в черной металлургии: суммарная с начала года выработка отрасли сократилась в 1,7 раза к базисному показателю и составила 781,3 миллиона рублей (-29,0 процент</w:t>
      </w:r>
      <w:r w:rsidR="00D304A4">
        <w:rPr>
          <w:bCs/>
          <w:sz w:val="28"/>
          <w:szCs w:val="28"/>
        </w:rPr>
        <w:t>а</w:t>
      </w:r>
      <w:r w:rsidRPr="004D1A06">
        <w:rPr>
          <w:bCs/>
          <w:sz w:val="28"/>
          <w:szCs w:val="28"/>
        </w:rPr>
        <w:t xml:space="preserve"> в реальном выражении).</w:t>
      </w: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Отраслевой объем производства энергетического комплекса нарастающим итогом с начала года </w:t>
      </w:r>
      <w:r w:rsidRPr="004D1A06">
        <w:rPr>
          <w:rFonts w:eastAsia="Calibri"/>
          <w:bCs/>
          <w:sz w:val="28"/>
          <w:szCs w:val="28"/>
        </w:rPr>
        <w:t xml:space="preserve">сложился на уровне 1 273,2 миллиона рублей, что выше параметра первого квартала 2022 года на 6,1 процента. Без учета ценового фактора выпуск вырос на 2,6 процента. </w:t>
      </w:r>
    </w:p>
    <w:p w:rsidR="00784AC4" w:rsidRPr="004D1A06" w:rsidRDefault="00784AC4" w:rsidP="00784AC4">
      <w:pPr>
        <w:ind w:firstLine="709"/>
        <w:jc w:val="both"/>
        <w:rPr>
          <w:bCs/>
          <w:sz w:val="28"/>
          <w:szCs w:val="28"/>
        </w:rPr>
      </w:pPr>
      <w:r w:rsidRPr="004D1A06">
        <w:rPr>
          <w:rFonts w:eastAsia="Calibri"/>
          <w:bCs/>
          <w:sz w:val="28"/>
          <w:szCs w:val="28"/>
        </w:rPr>
        <w:t>В легкой промышленности квартальный объем производства сложился ниже базисного на 3,3 процента</w:t>
      </w:r>
      <w:r w:rsidR="00D304A4">
        <w:rPr>
          <w:rFonts w:eastAsia="Calibri"/>
          <w:bCs/>
          <w:sz w:val="28"/>
          <w:szCs w:val="28"/>
        </w:rPr>
        <w:t>,</w:t>
      </w:r>
      <w:r w:rsidRPr="004D1A06">
        <w:rPr>
          <w:rFonts w:eastAsia="Calibri"/>
          <w:bCs/>
          <w:sz w:val="28"/>
          <w:szCs w:val="28"/>
        </w:rPr>
        <w:t xml:space="preserve"> на уровне 339,3 миллиона рублей. При этом в реальном выражении отставание составило 19,8 процента.</w:t>
      </w:r>
    </w:p>
    <w:p w:rsidR="00784AC4" w:rsidRPr="004D1A06" w:rsidRDefault="00784AC4" w:rsidP="00784AC4">
      <w:pPr>
        <w:ind w:firstLine="709"/>
        <w:jc w:val="both"/>
        <w:rPr>
          <w:rFonts w:eastAsia="Calibri"/>
          <w:bCs/>
          <w:sz w:val="28"/>
          <w:szCs w:val="28"/>
        </w:rPr>
      </w:pPr>
      <w:r w:rsidRPr="004D1A06">
        <w:rPr>
          <w:rFonts w:eastAsia="Calibri"/>
          <w:bCs/>
          <w:sz w:val="28"/>
          <w:szCs w:val="28"/>
        </w:rPr>
        <w:t xml:space="preserve">Объем производства отрасли машиностроения и металлообработки за три месяца 2023 года сложился ниже прошлогоднего параметра </w:t>
      </w:r>
      <w:r w:rsidR="00F12A6F">
        <w:rPr>
          <w:rFonts w:eastAsia="Calibri"/>
          <w:bCs/>
          <w:sz w:val="28"/>
          <w:szCs w:val="28"/>
        </w:rPr>
        <w:br/>
      </w:r>
      <w:r w:rsidRPr="004D1A06">
        <w:rPr>
          <w:rFonts w:eastAsia="Calibri"/>
          <w:bCs/>
          <w:sz w:val="28"/>
          <w:szCs w:val="28"/>
        </w:rPr>
        <w:t xml:space="preserve">на 4,4 процента и составил 73,3 миллиона рублей. При этом без учета ценового фактора отмечалось наращивание выпуска на 2,2 процента. </w:t>
      </w:r>
    </w:p>
    <w:p w:rsidR="00784AC4" w:rsidRPr="004D1A06" w:rsidRDefault="00D304A4" w:rsidP="00784A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января–</w:t>
      </w:r>
      <w:r w:rsidR="00784AC4" w:rsidRPr="004D1A06">
        <w:rPr>
          <w:bCs/>
          <w:sz w:val="28"/>
          <w:szCs w:val="28"/>
        </w:rPr>
        <w:t>марта 2023 года отраслевой объем производства пищевой промышленности сформировался на отметке 524,0 миллион</w:t>
      </w:r>
      <w:r w:rsidR="00F12A6F">
        <w:rPr>
          <w:bCs/>
          <w:sz w:val="28"/>
          <w:szCs w:val="28"/>
        </w:rPr>
        <w:t>а</w:t>
      </w:r>
      <w:r w:rsidR="00784AC4" w:rsidRPr="004D1A06">
        <w:rPr>
          <w:bCs/>
          <w:sz w:val="28"/>
          <w:szCs w:val="28"/>
        </w:rPr>
        <w:t xml:space="preserve"> рублей, что практически идентично базисному уровню (-0,1 процента) в фактических отпускных ценах (-4,9 процента в реальном выражении).</w:t>
      </w: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Результаты деятельности организаций промышленности строительных материалов за первый квартал 2023 года сформировались на отметке </w:t>
      </w:r>
      <w:r w:rsidR="00F12A6F">
        <w:rPr>
          <w:bCs/>
          <w:sz w:val="28"/>
          <w:szCs w:val="28"/>
        </w:rPr>
        <w:br/>
      </w:r>
      <w:r w:rsidRPr="004D1A06">
        <w:rPr>
          <w:bCs/>
          <w:sz w:val="28"/>
          <w:szCs w:val="28"/>
        </w:rPr>
        <w:t xml:space="preserve">121,1 миллиона рублей, что на 2,9 процента ниже показателя аналогичного периода 2022 года (-26,1 процента в реальном выражении). </w:t>
      </w:r>
    </w:p>
    <w:p w:rsidR="00784AC4" w:rsidRPr="004D1A06" w:rsidRDefault="00784AC4" w:rsidP="00784AC4">
      <w:pPr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В электротехнической промышленности за три месяца выработка в стоимостном выражении сложилась на уровне 99,4 миллиона рублей, что в 1,6 раза выше отметки базисного периода (+27,4 процента в реальном выражении). </w:t>
      </w:r>
    </w:p>
    <w:p w:rsidR="00784AC4" w:rsidRPr="004D1A06" w:rsidRDefault="00784AC4" w:rsidP="00784AC4">
      <w:pPr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Положительная производственная динамика организаций химической промышленности обусловила формирование отраслевого выпуска по итогам января</w:t>
      </w:r>
      <w:r w:rsidR="00C356C4">
        <w:rPr>
          <w:bCs/>
          <w:sz w:val="28"/>
          <w:szCs w:val="28"/>
        </w:rPr>
        <w:t>–</w:t>
      </w:r>
      <w:r w:rsidRPr="004D1A06">
        <w:rPr>
          <w:bCs/>
          <w:sz w:val="28"/>
          <w:szCs w:val="28"/>
        </w:rPr>
        <w:t>марта на уровне 127,9 миллиона рублей, что выше параметра базисного периода в 1,3 раза (+10,0 процентов в реальном выражении).</w:t>
      </w:r>
    </w:p>
    <w:p w:rsidR="00784AC4" w:rsidRPr="004D1A06" w:rsidRDefault="00784AC4" w:rsidP="00784AC4">
      <w:pPr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По итогам трех месяцев объем производства организаций мукомольно-крупяной и комбикормовой промышленности составил 43,2 миллиона рублей, что отстает от базисного значения на 22,0 процент</w:t>
      </w:r>
      <w:r w:rsidR="00C356C4">
        <w:rPr>
          <w:bCs/>
          <w:sz w:val="28"/>
          <w:szCs w:val="28"/>
        </w:rPr>
        <w:t>а</w:t>
      </w:r>
      <w:r w:rsidRPr="004D1A06">
        <w:rPr>
          <w:bCs/>
          <w:sz w:val="28"/>
          <w:szCs w:val="28"/>
        </w:rPr>
        <w:t xml:space="preserve"> в фактических отпускных ценах и на 36,8 процента – в реальном выражении.</w:t>
      </w:r>
    </w:p>
    <w:p w:rsidR="00784AC4" w:rsidRPr="004D1A06" w:rsidRDefault="00784AC4" w:rsidP="00784AC4">
      <w:pPr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Товарный выпуск полиграфической промышленности по итогам января–марта 2023 года вырос на 27,2 процента</w:t>
      </w:r>
      <w:r w:rsidR="00C356C4">
        <w:rPr>
          <w:bCs/>
          <w:sz w:val="28"/>
          <w:szCs w:val="28"/>
        </w:rPr>
        <w:t>,</w:t>
      </w:r>
      <w:r w:rsidRPr="004D1A06">
        <w:rPr>
          <w:bCs/>
          <w:sz w:val="28"/>
          <w:szCs w:val="28"/>
        </w:rPr>
        <w:t xml:space="preserve"> до 6,9 миллиона рублей (в реальном выражении рост в 1,5 раза).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bCs/>
          <w:sz w:val="28"/>
        </w:rPr>
      </w:pPr>
      <w:r w:rsidRPr="004D1A06">
        <w:rPr>
          <w:bCs/>
          <w:sz w:val="28"/>
        </w:rPr>
        <w:lastRenderedPageBreak/>
        <w:t>Внешнеэкономическая деятельность</w:t>
      </w:r>
    </w:p>
    <w:p w:rsidR="00784AC4" w:rsidRPr="004D1A06" w:rsidRDefault="00784AC4" w:rsidP="00784AC4">
      <w:pPr>
        <w:ind w:firstLine="709"/>
        <w:jc w:val="both"/>
        <w:rPr>
          <w:sz w:val="28"/>
        </w:rPr>
      </w:pPr>
      <w:r w:rsidRPr="004D1A06">
        <w:rPr>
          <w:sz w:val="28"/>
        </w:rPr>
        <w:t>Согласно данным Государственного таможенного комитета Приднестровской Молдавской Республики совокупный внешнеторговый оборот республики по итогам января</w:t>
      </w:r>
      <w:r w:rsidR="00C356C4">
        <w:rPr>
          <w:sz w:val="28"/>
        </w:rPr>
        <w:t>–</w:t>
      </w:r>
      <w:r w:rsidRPr="004D1A06">
        <w:rPr>
          <w:sz w:val="28"/>
        </w:rPr>
        <w:t xml:space="preserve">марта 2023 года сложился на уровне 917,2 миллиона долларов, что на 23,2 процента выше базисной отметки.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</w:rPr>
        <w:t>Стоимостной объем экспортных продаж за январь</w:t>
      </w:r>
      <w:r w:rsidR="00C356C4">
        <w:rPr>
          <w:sz w:val="28"/>
        </w:rPr>
        <w:t>–</w:t>
      </w:r>
      <w:r w:rsidRPr="004D1A06">
        <w:rPr>
          <w:sz w:val="28"/>
        </w:rPr>
        <w:t>март 2023 года составил 173,1 миллиона долларов (-18,8 процента к аналогичному</w:t>
      </w:r>
      <w:r w:rsidRPr="004D1A06">
        <w:rPr>
          <w:sz w:val="28"/>
          <w:szCs w:val="28"/>
        </w:rPr>
        <w:t xml:space="preserve"> параметру прошлого года</w:t>
      </w:r>
      <w:r w:rsidRPr="004D1A06">
        <w:rPr>
          <w:sz w:val="28"/>
        </w:rPr>
        <w:t xml:space="preserve">), импортные поставки (с учетом операций физических лиц) оценены в сумме </w:t>
      </w:r>
      <w:r w:rsidRPr="004D1A06">
        <w:rPr>
          <w:sz w:val="28"/>
          <w:szCs w:val="28"/>
        </w:rPr>
        <w:t>744,1 </w:t>
      </w:r>
      <w:r w:rsidRPr="004D1A06">
        <w:rPr>
          <w:sz w:val="28"/>
        </w:rPr>
        <w:t>миллиона долларов</w:t>
      </w:r>
      <w:r w:rsidRPr="004D1A06">
        <w:rPr>
          <w:sz w:val="28"/>
          <w:szCs w:val="28"/>
        </w:rPr>
        <w:t xml:space="preserve"> (+40,1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>). Таким образом, отрицательное сальдо внешнеторговых операций сформировано в размере 571,0 миллион</w:t>
      </w:r>
      <w:r w:rsidR="00C356C4">
        <w:rPr>
          <w:sz w:val="28"/>
          <w:szCs w:val="28"/>
        </w:rPr>
        <w:t>а</w:t>
      </w:r>
      <w:r w:rsidRPr="004D1A06">
        <w:rPr>
          <w:sz w:val="28"/>
          <w:szCs w:val="28"/>
        </w:rPr>
        <w:t xml:space="preserve"> долларов против 317,9 миллиона долларов в январе</w:t>
      </w:r>
      <w:r w:rsidR="00C356C4">
        <w:rPr>
          <w:sz w:val="28"/>
          <w:szCs w:val="28"/>
        </w:rPr>
        <w:t>–</w:t>
      </w:r>
      <w:r w:rsidRPr="004D1A06">
        <w:rPr>
          <w:sz w:val="28"/>
          <w:szCs w:val="28"/>
        </w:rPr>
        <w:t xml:space="preserve">марте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>2022 года.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</w:rPr>
      </w:pPr>
      <w:r w:rsidRPr="004D1A06">
        <w:rPr>
          <w:sz w:val="28"/>
        </w:rPr>
        <w:t>В первом квартале 2023 года в корреляции с объемами производства отрасли фиксировалось резкое сокращение экспорта металлургической продукции (в 1,7 раза к показателю января</w:t>
      </w:r>
      <w:r w:rsidR="00A543BE">
        <w:rPr>
          <w:sz w:val="28"/>
        </w:rPr>
        <w:t>–</w:t>
      </w:r>
      <w:r w:rsidRPr="004D1A06">
        <w:rPr>
          <w:sz w:val="28"/>
        </w:rPr>
        <w:t>марта 2022 года) до 48,6 миллиона долларов, сформировав 28,0 процент</w:t>
      </w:r>
      <w:r w:rsidR="00A543BE">
        <w:rPr>
          <w:sz w:val="28"/>
        </w:rPr>
        <w:t>а</w:t>
      </w:r>
      <w:r w:rsidRPr="004D1A06">
        <w:rPr>
          <w:sz w:val="28"/>
        </w:rPr>
        <w:t xml:space="preserve"> совокупного показателя.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</w:rPr>
      </w:pPr>
      <w:r w:rsidRPr="004D1A06">
        <w:rPr>
          <w:sz w:val="28"/>
        </w:rPr>
        <w:t>Топливно-энергетических товаров в первом квартале поставлено за рубеж на сумму, эквивалентную 47,7 миллиона долларов (+6,3 процента), или 27,6 процента (+6,5 процентных пунктов) в общей структуре.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4D1A06">
        <w:rPr>
          <w:sz w:val="28"/>
        </w:rPr>
        <w:t xml:space="preserve">По итогам </w:t>
      </w:r>
      <w:r w:rsidR="005E3C14">
        <w:rPr>
          <w:sz w:val="28"/>
        </w:rPr>
        <w:t>января–марта</w:t>
      </w:r>
      <w:r w:rsidRPr="004D1A06">
        <w:rPr>
          <w:sz w:val="28"/>
        </w:rPr>
        <w:t xml:space="preserve"> 2023 года экспорт продовольственных товаров и сырья сократился на 12,9 процента к уровню января</w:t>
      </w:r>
      <w:r w:rsidR="00A543BE">
        <w:rPr>
          <w:sz w:val="28"/>
        </w:rPr>
        <w:t>–</w:t>
      </w:r>
      <w:r w:rsidRPr="004D1A06">
        <w:rPr>
          <w:sz w:val="28"/>
        </w:rPr>
        <w:t>марта 2022 года</w:t>
      </w:r>
      <w:r w:rsidR="00A543BE">
        <w:rPr>
          <w:sz w:val="28"/>
        </w:rPr>
        <w:t>,</w:t>
      </w:r>
      <w:r w:rsidRPr="004D1A06">
        <w:rPr>
          <w:sz w:val="28"/>
        </w:rPr>
        <w:t xml:space="preserve"> </w:t>
      </w:r>
      <w:r w:rsidR="00F955AA">
        <w:rPr>
          <w:sz w:val="28"/>
        </w:rPr>
        <w:br/>
      </w:r>
      <w:r w:rsidRPr="004D1A06">
        <w:rPr>
          <w:sz w:val="28"/>
        </w:rPr>
        <w:t xml:space="preserve">до 43,6 миллиона долларов (25,2 процента совокупного экспорта). Основное влияние оказало сокращение поставок за рубеж кукурузы (в 2,9 раза), семян подсолнечника (-7,2 процента). В то же время фиксировалось наращивание экспорта пшеницы и </w:t>
      </w:r>
      <w:proofErr w:type="spellStart"/>
      <w:r w:rsidRPr="004D1A06">
        <w:rPr>
          <w:sz w:val="28"/>
        </w:rPr>
        <w:t>меслина</w:t>
      </w:r>
      <w:proofErr w:type="spellEnd"/>
      <w:r w:rsidRPr="004D1A06">
        <w:rPr>
          <w:sz w:val="28"/>
        </w:rPr>
        <w:t xml:space="preserve"> (в 1,8 раза), рапса (в 19,4 раза).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</w:rPr>
        <w:t xml:space="preserve">Стоимостная оценка реализованных за рубеж товаров легкой промышленности </w:t>
      </w:r>
      <w:r w:rsidRPr="004D1A06">
        <w:rPr>
          <w:sz w:val="28"/>
          <w:szCs w:val="28"/>
        </w:rPr>
        <w:t xml:space="preserve">за первый квартал сократилась на 25,4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>до 14,7</w:t>
      </w:r>
      <w:r w:rsidRPr="004D1A06">
        <w:rPr>
          <w:sz w:val="28"/>
        </w:rPr>
        <w:t xml:space="preserve"> миллиона долларов</w:t>
      </w:r>
      <w:r w:rsidRPr="004D1A06">
        <w:rPr>
          <w:sz w:val="28"/>
          <w:szCs w:val="28"/>
        </w:rPr>
        <w:t xml:space="preserve">, сформировав 8,5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всего экспорта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>(-0,7 процентных пунктов к показателю января</w:t>
      </w:r>
      <w:r w:rsidR="00A543BE">
        <w:rPr>
          <w:sz w:val="28"/>
          <w:szCs w:val="28"/>
        </w:rPr>
        <w:t>–</w:t>
      </w:r>
      <w:r w:rsidRPr="004D1A06">
        <w:rPr>
          <w:sz w:val="28"/>
          <w:szCs w:val="28"/>
        </w:rPr>
        <w:t>марта 2022 года).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Поставки за рубеж машиностроительной продукции по итогам </w:t>
      </w:r>
      <w:r w:rsidR="005E3C14">
        <w:rPr>
          <w:sz w:val="28"/>
          <w:szCs w:val="28"/>
        </w:rPr>
        <w:t>января–марта</w:t>
      </w:r>
      <w:r w:rsidRPr="004D1A06">
        <w:rPr>
          <w:sz w:val="28"/>
          <w:szCs w:val="28"/>
        </w:rPr>
        <w:t xml:space="preserve"> увеличились в 1,8 раза</w:t>
      </w:r>
      <w:r w:rsidR="00A543BE">
        <w:rPr>
          <w:sz w:val="28"/>
          <w:szCs w:val="28"/>
        </w:rPr>
        <w:t>,</w:t>
      </w:r>
      <w:r w:rsidRPr="004D1A06">
        <w:rPr>
          <w:sz w:val="28"/>
          <w:szCs w:val="28"/>
        </w:rPr>
        <w:t xml:space="preserve"> до 6,4 </w:t>
      </w:r>
      <w:r w:rsidRPr="004D1A06">
        <w:rPr>
          <w:sz w:val="28"/>
        </w:rPr>
        <w:t>миллиона долларов.</w:t>
      </w:r>
      <w:r w:rsidRPr="004D1A06">
        <w:rPr>
          <w:sz w:val="28"/>
          <w:szCs w:val="28"/>
        </w:rPr>
        <w:t xml:space="preserve"> 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Поставки продукции химической и связанных с ней отраслей промышленности за три месяца сформировались на уровне 5,9 </w:t>
      </w:r>
      <w:r w:rsidRPr="004D1A06">
        <w:rPr>
          <w:sz w:val="28"/>
        </w:rPr>
        <w:t>миллиона долларов</w:t>
      </w:r>
      <w:r w:rsidRPr="004D1A06">
        <w:rPr>
          <w:sz w:val="28"/>
          <w:szCs w:val="28"/>
        </w:rPr>
        <w:t xml:space="preserve"> (рост в 1,4 раза), или 3,4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в общей структуре.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Объем экспортных продаж минеральных продуктов по итогам января</w:t>
      </w:r>
      <w:r w:rsidR="00A543BE">
        <w:rPr>
          <w:sz w:val="28"/>
          <w:szCs w:val="28"/>
        </w:rPr>
        <w:t>–</w:t>
      </w:r>
      <w:r w:rsidRPr="004D1A06">
        <w:rPr>
          <w:sz w:val="28"/>
          <w:szCs w:val="28"/>
        </w:rPr>
        <w:t>марта составил 5,6 </w:t>
      </w:r>
      <w:r w:rsidRPr="004D1A06">
        <w:rPr>
          <w:sz w:val="28"/>
        </w:rPr>
        <w:t>миллиона долларов</w:t>
      </w:r>
      <w:r w:rsidRPr="004D1A06">
        <w:rPr>
          <w:sz w:val="28"/>
          <w:szCs w:val="28"/>
        </w:rPr>
        <w:t xml:space="preserve">, или 3,3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итогового показателя, сократившись на 18,7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к базисной отметке.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Объем импорта за январь</w:t>
      </w:r>
      <w:r w:rsidR="005E3C14">
        <w:rPr>
          <w:sz w:val="28"/>
          <w:szCs w:val="28"/>
        </w:rPr>
        <w:t>–</w:t>
      </w:r>
      <w:r w:rsidRPr="004D1A06">
        <w:rPr>
          <w:sz w:val="28"/>
          <w:szCs w:val="28"/>
        </w:rPr>
        <w:t xml:space="preserve">март 2023 года на фоне высоких цен на мировых сырьевых рынках сформировался на отметке 744,1 миллиона долларов (+40,1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к базисному параметру 2022 года).</w:t>
      </w: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lang w:eastAsia="en-US"/>
        </w:rPr>
      </w:pPr>
      <w:r w:rsidRPr="004D1A06">
        <w:rPr>
          <w:sz w:val="28"/>
          <w:szCs w:val="28"/>
        </w:rPr>
        <w:t>Поставки</w:t>
      </w:r>
      <w:r w:rsidRPr="004D1A06">
        <w:rPr>
          <w:rFonts w:eastAsia="Calibri"/>
          <w:sz w:val="28"/>
          <w:lang w:eastAsia="en-US"/>
        </w:rPr>
        <w:t xml:space="preserve"> топливно-энергетических товаров </w:t>
      </w:r>
      <w:r w:rsidRPr="004D1A06">
        <w:rPr>
          <w:rFonts w:eastAsia="Calibri"/>
          <w:sz w:val="28"/>
          <w:szCs w:val="28"/>
          <w:lang w:eastAsia="en-US"/>
        </w:rPr>
        <w:t>по</w:t>
      </w:r>
      <w:r w:rsidRPr="004D1A06">
        <w:rPr>
          <w:rFonts w:eastAsia="Calibri"/>
          <w:sz w:val="28"/>
          <w:lang w:eastAsia="en-US"/>
        </w:rPr>
        <w:t xml:space="preserve"> итогам </w:t>
      </w:r>
      <w:r w:rsidR="005E3C14">
        <w:rPr>
          <w:rFonts w:eastAsia="Calibri"/>
          <w:sz w:val="28"/>
          <w:lang w:eastAsia="en-US"/>
        </w:rPr>
        <w:t>января–марта</w:t>
      </w:r>
      <w:r w:rsidRPr="004D1A06">
        <w:rPr>
          <w:rFonts w:eastAsia="Calibri"/>
          <w:sz w:val="28"/>
          <w:lang w:eastAsia="en-US"/>
        </w:rPr>
        <w:t xml:space="preserve"> достигли 539,9 </w:t>
      </w:r>
      <w:r w:rsidRPr="004D1A06">
        <w:rPr>
          <w:sz w:val="28"/>
        </w:rPr>
        <w:t>миллиона долларов</w:t>
      </w:r>
      <w:r w:rsidRPr="004D1A06">
        <w:rPr>
          <w:rFonts w:eastAsia="Calibri"/>
          <w:sz w:val="28"/>
          <w:lang w:eastAsia="en-US"/>
        </w:rPr>
        <w:t xml:space="preserve"> (рост в 1,5 раза к уровню базисного периода), или 72,6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lang w:eastAsia="en-US"/>
        </w:rPr>
        <w:t xml:space="preserve"> в общей структуре.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rFonts w:eastAsia="Calibri"/>
          <w:sz w:val="28"/>
          <w:lang w:eastAsia="en-US"/>
        </w:rPr>
        <w:lastRenderedPageBreak/>
        <w:t xml:space="preserve">Металлургической продукции по итогам первого квартала 2023 года было ввезено на сумму 41,7 миллиона долларов (5,6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lang w:eastAsia="en-US"/>
        </w:rPr>
        <w:t xml:space="preserve"> совокупного показателя), что на 38,1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lang w:eastAsia="en-US"/>
        </w:rPr>
        <w:t xml:space="preserve"> выше базисного значения.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</w:rPr>
      </w:pPr>
      <w:r w:rsidRPr="004D1A06">
        <w:rPr>
          <w:sz w:val="28"/>
        </w:rPr>
        <w:t>Объем ввезенных продовольственных товаров (сырья) за первый квартал вырос на 26,5 процент</w:t>
      </w:r>
      <w:r w:rsidR="005E3C14">
        <w:rPr>
          <w:sz w:val="28"/>
        </w:rPr>
        <w:t>а</w:t>
      </w:r>
      <w:r w:rsidRPr="004D1A06">
        <w:rPr>
          <w:sz w:val="28"/>
        </w:rPr>
        <w:t xml:space="preserve"> и достиг 45,2 миллиона долларов. </w:t>
      </w:r>
    </w:p>
    <w:p w:rsidR="00784AC4" w:rsidRPr="004D1A06" w:rsidRDefault="00784AC4" w:rsidP="00784AC4">
      <w:pPr>
        <w:ind w:firstLine="709"/>
        <w:jc w:val="both"/>
        <w:rPr>
          <w:sz w:val="28"/>
        </w:rPr>
      </w:pPr>
      <w:r w:rsidRPr="004D1A06">
        <w:rPr>
          <w:sz w:val="28"/>
        </w:rPr>
        <w:t xml:space="preserve">Импорт </w:t>
      </w:r>
      <w:r w:rsidRPr="004D1A06">
        <w:rPr>
          <w:bCs/>
          <w:sz w:val="28"/>
        </w:rPr>
        <w:t>машиностроительной продукции</w:t>
      </w:r>
      <w:r w:rsidRPr="004D1A06">
        <w:rPr>
          <w:sz w:val="28"/>
        </w:rPr>
        <w:t xml:space="preserve"> сложился на отметке 31,4 миллиона долларов, что на 14,4 процента выше базисного значения.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</w:rPr>
      </w:pPr>
      <w:r w:rsidRPr="004D1A06">
        <w:rPr>
          <w:sz w:val="28"/>
        </w:rPr>
        <w:t>Объем импорта товаров легкой промышленности по итогам первого квартала сократился на 27,8 процента</w:t>
      </w:r>
      <w:r w:rsidR="005E3C14">
        <w:rPr>
          <w:sz w:val="28"/>
        </w:rPr>
        <w:t>,</w:t>
      </w:r>
      <w:r w:rsidRPr="004D1A06">
        <w:rPr>
          <w:sz w:val="28"/>
        </w:rPr>
        <w:t xml:space="preserve"> до 16,5 миллиона долларов.</w:t>
      </w:r>
    </w:p>
    <w:p w:rsidR="00784AC4" w:rsidRPr="004D1A06" w:rsidRDefault="00784AC4" w:rsidP="00784AC4">
      <w:pPr>
        <w:ind w:firstLine="709"/>
        <w:jc w:val="both"/>
        <w:rPr>
          <w:bCs/>
          <w:sz w:val="28"/>
        </w:rPr>
      </w:pPr>
      <w:r w:rsidRPr="004D1A06">
        <w:rPr>
          <w:bCs/>
          <w:sz w:val="28"/>
        </w:rPr>
        <w:t xml:space="preserve">Совокупные поставки медикаментов на территорию республики по итогам </w:t>
      </w:r>
      <w:r w:rsidR="005E3C14">
        <w:rPr>
          <w:bCs/>
          <w:sz w:val="28"/>
        </w:rPr>
        <w:t>января–марта</w:t>
      </w:r>
      <w:r w:rsidRPr="004D1A06">
        <w:rPr>
          <w:bCs/>
          <w:sz w:val="28"/>
        </w:rPr>
        <w:t xml:space="preserve"> сформированы на отметке 8,6 миллиона долларов </w:t>
      </w:r>
      <w:r w:rsidR="00F955AA">
        <w:rPr>
          <w:bCs/>
          <w:sz w:val="28"/>
        </w:rPr>
        <w:br/>
      </w:r>
      <w:r w:rsidRPr="004D1A06">
        <w:rPr>
          <w:bCs/>
          <w:sz w:val="28"/>
        </w:rPr>
        <w:t xml:space="preserve">(+27,4 </w:t>
      </w:r>
      <w:r w:rsidRPr="004D1A06">
        <w:rPr>
          <w:sz w:val="28"/>
        </w:rPr>
        <w:t>процента</w:t>
      </w:r>
      <w:r w:rsidRPr="004D1A06">
        <w:rPr>
          <w:bCs/>
          <w:sz w:val="28"/>
        </w:rPr>
        <w:t xml:space="preserve"> по отношению к базисному уровню).</w:t>
      </w:r>
    </w:p>
    <w:p w:rsidR="00784AC4" w:rsidRPr="004D1A06" w:rsidRDefault="00784AC4" w:rsidP="00784AC4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8"/>
        </w:rPr>
      </w:pPr>
      <w:bookmarkStart w:id="0" w:name="_Toc117164326"/>
    </w:p>
    <w:p w:rsidR="00784AC4" w:rsidRPr="004D1A06" w:rsidRDefault="00784AC4" w:rsidP="00784AC4">
      <w:pPr>
        <w:pStyle w:val="2"/>
        <w:spacing w:before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4D1A06">
        <w:rPr>
          <w:rFonts w:ascii="Times New Roman" w:hAnsi="Times New Roman"/>
          <w:color w:val="auto"/>
          <w:sz w:val="28"/>
        </w:rPr>
        <w:t>Инвестиционная деятельность</w:t>
      </w:r>
      <w:bookmarkEnd w:id="0"/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Инвестиции в модернизацию и обновление основных фондов по организациям всех форм собственности (в части новых и приобретенных по импорту основных средств) крупного и среднего бизнеса по итогам первого квартала 2023 года сложились на уровне 403,2 </w:t>
      </w:r>
      <w:r w:rsidRPr="004D1A06">
        <w:rPr>
          <w:sz w:val="28"/>
        </w:rPr>
        <w:t>миллиона рублей</w:t>
      </w:r>
      <w:r w:rsidRPr="004D1A06">
        <w:rPr>
          <w:sz w:val="28"/>
          <w:szCs w:val="28"/>
        </w:rPr>
        <w:t xml:space="preserve">, что выше базисного параметра на 17,6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в текущих ценах.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На строительство, реконструкцию и техническое перевооружение объектов производственного назначения было направлено 340,2</w:t>
      </w:r>
      <w:r w:rsidRPr="004D1A06">
        <w:rPr>
          <w:sz w:val="28"/>
        </w:rPr>
        <w:t xml:space="preserve"> миллиона рублей</w:t>
      </w:r>
      <w:r w:rsidRPr="004D1A06">
        <w:rPr>
          <w:sz w:val="28"/>
          <w:szCs w:val="28"/>
        </w:rPr>
        <w:t xml:space="preserve">, или 84,4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совокупного показателя (+9,8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относительно значения </w:t>
      </w:r>
      <w:r w:rsidR="005E3C14">
        <w:rPr>
          <w:sz w:val="28"/>
          <w:szCs w:val="28"/>
        </w:rPr>
        <w:t>января–марта</w:t>
      </w:r>
      <w:r w:rsidRPr="004D1A06">
        <w:rPr>
          <w:sz w:val="28"/>
          <w:szCs w:val="28"/>
        </w:rPr>
        <w:t xml:space="preserve"> прошлого года).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В объекты непроизводственного назначения, принимая во внимание государственные вложения в модернизацию социальной сферы, было инвестировано 62,9 </w:t>
      </w:r>
      <w:r w:rsidRPr="004D1A06">
        <w:rPr>
          <w:sz w:val="28"/>
        </w:rPr>
        <w:t>миллиона рублей</w:t>
      </w:r>
      <w:r w:rsidRPr="004D1A06">
        <w:rPr>
          <w:sz w:val="28"/>
          <w:szCs w:val="28"/>
        </w:rPr>
        <w:t>, что превышает параметр базисного периода в 1,9 раза.</w:t>
      </w:r>
    </w:p>
    <w:p w:rsidR="00784AC4" w:rsidRPr="004D1A06" w:rsidRDefault="00784AC4" w:rsidP="00784AC4">
      <w:pPr>
        <w:ind w:firstLine="709"/>
        <w:jc w:val="both"/>
        <w:rPr>
          <w:bCs/>
          <w:sz w:val="28"/>
        </w:rPr>
      </w:pPr>
      <w:r w:rsidRPr="004D1A06">
        <w:rPr>
          <w:sz w:val="28"/>
          <w:szCs w:val="28"/>
        </w:rPr>
        <w:t>В разрезе отраслей экономики существенные объемы инвестирования были сформированы в сфере торговли и общественного питания (155,9 </w:t>
      </w:r>
      <w:r w:rsidRPr="004D1A06">
        <w:rPr>
          <w:sz w:val="28"/>
        </w:rPr>
        <w:t>миллиона рублей</w:t>
      </w:r>
      <w:r w:rsidRPr="004D1A06">
        <w:rPr>
          <w:sz w:val="28"/>
          <w:szCs w:val="28"/>
        </w:rPr>
        <w:t xml:space="preserve">, рост в 7,9 раза к показателю </w:t>
      </w:r>
      <w:r w:rsidR="005E3C14">
        <w:rPr>
          <w:sz w:val="28"/>
          <w:szCs w:val="28"/>
        </w:rPr>
        <w:t>января–марта</w:t>
      </w:r>
      <w:r w:rsidRPr="004D1A06">
        <w:rPr>
          <w:sz w:val="28"/>
          <w:szCs w:val="28"/>
        </w:rPr>
        <w:t xml:space="preserve"> 2022 года) и промышленности (114,0</w:t>
      </w:r>
      <w:r w:rsidRPr="004D1A06">
        <w:rPr>
          <w:sz w:val="28"/>
        </w:rPr>
        <w:t xml:space="preserve"> миллионов рублей</w:t>
      </w:r>
      <w:r w:rsidRPr="004D1A06">
        <w:rPr>
          <w:sz w:val="28"/>
          <w:szCs w:val="28"/>
        </w:rPr>
        <w:t xml:space="preserve">, +18,7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к показателю аналогичного периода прошлого года), где в совокупности было освоено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 xml:space="preserve">66,9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всех вложений.</w:t>
      </w:r>
    </w:p>
    <w:p w:rsidR="00784AC4" w:rsidRPr="004D1A06" w:rsidRDefault="00784AC4" w:rsidP="00784AC4">
      <w:pPr>
        <w:ind w:firstLine="709"/>
        <w:rPr>
          <w:sz w:val="28"/>
          <w:szCs w:val="28"/>
        </w:rPr>
      </w:pPr>
    </w:p>
    <w:p w:rsidR="00784AC4" w:rsidRPr="004D1A06" w:rsidRDefault="00784AC4" w:rsidP="00784AC4">
      <w:pPr>
        <w:ind w:firstLine="709"/>
        <w:rPr>
          <w:sz w:val="28"/>
          <w:szCs w:val="28"/>
        </w:rPr>
      </w:pPr>
      <w:r w:rsidRPr="004D1A06">
        <w:rPr>
          <w:sz w:val="28"/>
          <w:szCs w:val="28"/>
        </w:rPr>
        <w:t>Потребительский рынок</w:t>
      </w: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szCs w:val="28"/>
        </w:rPr>
      </w:pPr>
      <w:bookmarkStart w:id="1" w:name="_Hlk89432742"/>
      <w:r w:rsidRPr="004D1A06">
        <w:rPr>
          <w:rFonts w:eastAsia="Calibri"/>
          <w:sz w:val="28"/>
          <w:szCs w:val="28"/>
        </w:rPr>
        <w:t>Совокупный объем приобретенных товаров и услуг на внутреннем потребительском рынке по итогам первого квартала 2023 года в номинальном выражении вырос на 7,2 процента</w:t>
      </w:r>
      <w:r w:rsidR="005E3C14">
        <w:rPr>
          <w:rFonts w:eastAsia="Calibri"/>
          <w:sz w:val="28"/>
          <w:szCs w:val="28"/>
        </w:rPr>
        <w:t>,</w:t>
      </w:r>
      <w:r w:rsidRPr="004D1A06">
        <w:rPr>
          <w:rFonts w:eastAsia="Calibri"/>
          <w:sz w:val="28"/>
          <w:szCs w:val="28"/>
        </w:rPr>
        <w:t xml:space="preserve"> до 3 100,3 миллиона рублей. В реальном выражении фиксировалось уменьшение на 4,1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>.</w:t>
      </w:r>
    </w:p>
    <w:bookmarkEnd w:id="1"/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rFonts w:eastAsia="MS Mincho"/>
          <w:sz w:val="28"/>
          <w:szCs w:val="28"/>
        </w:rPr>
      </w:pPr>
      <w:r w:rsidRPr="004D1A06">
        <w:rPr>
          <w:sz w:val="28"/>
          <w:szCs w:val="28"/>
        </w:rPr>
        <w:t xml:space="preserve">Сложившаяся динамика была обусловлена сокращением продаж в сфере розничной торговли (-6,1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в сопоставимых ценах) </w:t>
      </w:r>
      <w:r w:rsidR="008D20F4">
        <w:rPr>
          <w:sz w:val="28"/>
          <w:szCs w:val="28"/>
        </w:rPr>
        <w:br/>
      </w:r>
      <w:r w:rsidRPr="004D1A06">
        <w:rPr>
          <w:sz w:val="28"/>
          <w:szCs w:val="28"/>
        </w:rPr>
        <w:t xml:space="preserve">до 2 315,0 миллионов рублей, сформировавшей 74,7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совокупного показателя. </w:t>
      </w:r>
      <w:r w:rsidRPr="004D1A06">
        <w:rPr>
          <w:rFonts w:eastAsia="MS Mincho"/>
          <w:sz w:val="28"/>
          <w:szCs w:val="28"/>
        </w:rPr>
        <w:t xml:space="preserve">Приоритет в расходах населения вновь был отдан непродовольственным товарам (55,1 </w:t>
      </w:r>
      <w:r w:rsidRPr="004D1A06">
        <w:rPr>
          <w:sz w:val="28"/>
        </w:rPr>
        <w:t>процента</w:t>
      </w:r>
      <w:r w:rsidRPr="004D1A06">
        <w:rPr>
          <w:rFonts w:eastAsia="MS Mincho"/>
          <w:sz w:val="28"/>
          <w:szCs w:val="28"/>
        </w:rPr>
        <w:t xml:space="preserve"> в структуре продаж, или 1 275,5 миллиона рублей, -6,2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</w:t>
      </w:r>
      <w:r w:rsidRPr="004D1A06">
        <w:rPr>
          <w:rFonts w:eastAsia="MS Mincho"/>
          <w:sz w:val="28"/>
          <w:szCs w:val="28"/>
        </w:rPr>
        <w:t xml:space="preserve">в сопоставимых ценах). </w:t>
      </w:r>
      <w:r w:rsidRPr="004D1A06">
        <w:rPr>
          <w:rFonts w:eastAsia="MS Mincho"/>
          <w:sz w:val="28"/>
          <w:szCs w:val="28"/>
        </w:rPr>
        <w:lastRenderedPageBreak/>
        <w:t xml:space="preserve">Продовольственных товаров приобретено на сумму 1 039,5 миллиона рублей, что на 6,0 </w:t>
      </w:r>
      <w:r w:rsidRPr="004D1A06">
        <w:rPr>
          <w:sz w:val="28"/>
        </w:rPr>
        <w:t>процент</w:t>
      </w:r>
      <w:r w:rsidR="005E3C14">
        <w:rPr>
          <w:sz w:val="28"/>
        </w:rPr>
        <w:t>а</w:t>
      </w:r>
      <w:r w:rsidRPr="004D1A06">
        <w:rPr>
          <w:rFonts w:eastAsia="MS Mincho"/>
          <w:sz w:val="28"/>
          <w:szCs w:val="28"/>
        </w:rPr>
        <w:t xml:space="preserve"> ниже объемов базисного периода в реальном выражении.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В то же время в первом квартале фиксировалось наращивание потребительских расходов на общественное питание, объем которых сформировался на уровне 95,2 миллиона рублей (+12,8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в реальном выражении).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Стоимостн</w:t>
      </w:r>
      <w:r w:rsidR="005E3C14">
        <w:rPr>
          <w:sz w:val="28"/>
          <w:szCs w:val="28"/>
        </w:rPr>
        <w:t>ы</w:t>
      </w:r>
      <w:r w:rsidRPr="004D1A06">
        <w:rPr>
          <w:sz w:val="28"/>
          <w:szCs w:val="28"/>
        </w:rPr>
        <w:t>й объем приобретенных потребителями платных услуг за первый квартал оценен в размере 690,2 миллиона рублей (+1,0 процент</w:t>
      </w:r>
      <w:r w:rsidR="005E3C14">
        <w:rPr>
          <w:sz w:val="28"/>
          <w:szCs w:val="28"/>
        </w:rPr>
        <w:t>а</w:t>
      </w:r>
      <w:r w:rsidRPr="004D1A06">
        <w:rPr>
          <w:sz w:val="28"/>
          <w:szCs w:val="28"/>
        </w:rPr>
        <w:t xml:space="preserve"> в сопоставимых ценах к параметру 2022 года). </w:t>
      </w:r>
    </w:p>
    <w:p w:rsidR="00784AC4" w:rsidRPr="004D1A06" w:rsidRDefault="00784AC4" w:rsidP="00784AC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szCs w:val="28"/>
        </w:rPr>
      </w:pPr>
      <w:r w:rsidRPr="004D1A06">
        <w:rPr>
          <w:rFonts w:eastAsia="Calibri"/>
          <w:sz w:val="28"/>
          <w:szCs w:val="28"/>
        </w:rPr>
        <w:t>Инфляционные процессы на потребительском рынке</w:t>
      </w: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szCs w:val="28"/>
        </w:rPr>
      </w:pPr>
      <w:bookmarkStart w:id="2" w:name="_Hlk103086324"/>
      <w:r w:rsidRPr="004D1A06">
        <w:rPr>
          <w:rFonts w:eastAsia="Calibri"/>
          <w:sz w:val="28"/>
          <w:szCs w:val="28"/>
        </w:rPr>
        <w:t xml:space="preserve">На внутреннем потребительском рынке Приднестровской Молдавской Республики </w:t>
      </w:r>
      <w:bookmarkEnd w:id="2"/>
      <w:r w:rsidRPr="004D1A06">
        <w:rPr>
          <w:rFonts w:eastAsia="Calibri"/>
          <w:sz w:val="28"/>
          <w:szCs w:val="28"/>
        </w:rPr>
        <w:t>в первом квартале 2023 года потребительская инфляция имела менее выраженное проявление, чем в предшествующий год. Во многом это связано со снижением ценового давления на энергоносители и продукты питания на мировых рынках.</w:t>
      </w:r>
    </w:p>
    <w:p w:rsidR="00784AC4" w:rsidRPr="004D1A06" w:rsidRDefault="00784AC4" w:rsidP="00784AC4">
      <w:pPr>
        <w:ind w:firstLine="709"/>
        <w:jc w:val="both"/>
        <w:rPr>
          <w:rFonts w:eastAsia="Calibri"/>
          <w:bCs/>
          <w:sz w:val="28"/>
          <w:szCs w:val="28"/>
        </w:rPr>
      </w:pPr>
      <w:r w:rsidRPr="004D1A06">
        <w:rPr>
          <w:rFonts w:eastAsia="Calibri"/>
          <w:sz w:val="28"/>
          <w:szCs w:val="28"/>
        </w:rPr>
        <w:t xml:space="preserve">Официальная инфляция за первый квартал 2023 года зафиксирована на уровне 2,8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, что значительно ниже прошлогоднего параметра </w:t>
      </w:r>
      <w:r w:rsidR="00F955AA">
        <w:rPr>
          <w:rFonts w:eastAsia="Calibri"/>
          <w:sz w:val="28"/>
          <w:szCs w:val="28"/>
        </w:rPr>
        <w:br/>
      </w:r>
      <w:r w:rsidRPr="004D1A06">
        <w:rPr>
          <w:rFonts w:eastAsia="Calibri"/>
          <w:sz w:val="28"/>
          <w:szCs w:val="28"/>
        </w:rPr>
        <w:t xml:space="preserve">(4,4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>), но все равно превышает уровень 2019</w:t>
      </w:r>
      <w:r w:rsidR="005E3C14">
        <w:rPr>
          <w:rFonts w:eastAsia="Calibri"/>
          <w:sz w:val="28"/>
          <w:szCs w:val="28"/>
        </w:rPr>
        <w:t>–</w:t>
      </w:r>
      <w:r w:rsidRPr="004D1A06">
        <w:rPr>
          <w:rFonts w:eastAsia="Calibri"/>
          <w:sz w:val="28"/>
          <w:szCs w:val="28"/>
        </w:rPr>
        <w:t>2021 годов.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rFonts w:eastAsia="Calibri"/>
          <w:sz w:val="28"/>
          <w:szCs w:val="28"/>
        </w:rPr>
        <w:t xml:space="preserve">Повышательная динамика сохранялась в сегменте продовольственных товаров (+2,5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 за </w:t>
      </w:r>
      <w:r w:rsidR="005E3C14">
        <w:rPr>
          <w:rFonts w:eastAsia="Calibri"/>
          <w:sz w:val="28"/>
          <w:szCs w:val="28"/>
        </w:rPr>
        <w:t>январь–март</w:t>
      </w:r>
      <w:r w:rsidRPr="004D1A06">
        <w:rPr>
          <w:rFonts w:eastAsia="Calibri"/>
          <w:sz w:val="28"/>
          <w:szCs w:val="28"/>
        </w:rPr>
        <w:t xml:space="preserve">), однако по сравнению с прошлогодним параметром (+7,1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) она носила более умеренный характер. </w:t>
      </w:r>
      <w:r w:rsidRPr="004D1A06">
        <w:rPr>
          <w:sz w:val="28"/>
          <w:szCs w:val="28"/>
        </w:rPr>
        <w:t xml:space="preserve">При этом наибольшее ценовое давление было сформировано в сфере продаж овощной продукции (+28,5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>).</w:t>
      </w:r>
    </w:p>
    <w:p w:rsidR="00784AC4" w:rsidRPr="004D1A06" w:rsidRDefault="00784AC4" w:rsidP="00784AC4">
      <w:pPr>
        <w:ind w:firstLine="709"/>
        <w:jc w:val="both"/>
        <w:rPr>
          <w:rFonts w:eastAsia="Calibri"/>
          <w:iCs/>
          <w:sz w:val="28"/>
          <w:szCs w:val="28"/>
        </w:rPr>
      </w:pPr>
      <w:r w:rsidRPr="004D1A06">
        <w:rPr>
          <w:rFonts w:eastAsia="Calibri"/>
          <w:sz w:val="28"/>
          <w:szCs w:val="28"/>
        </w:rPr>
        <w:t xml:space="preserve">На фоне удорожания зерна, горюче-смазочных материалов и запчастей с 1 января 2023 года выросли предельные отпускные цены на хлеб и хлебобулочные изделия, что обусловило формирование уровня квартальной инфляции данной товарной группы на отметке 14,5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. В условиях влияния сезонного фактора и удорожания кормовой базы в первом квартале увеличилась стоимость молока и молочной продукции (+3,0 </w:t>
      </w:r>
      <w:r w:rsidRPr="004D1A06">
        <w:rPr>
          <w:sz w:val="28"/>
        </w:rPr>
        <w:t>процент</w:t>
      </w:r>
      <w:r w:rsidR="005E3C14">
        <w:rPr>
          <w:sz w:val="28"/>
        </w:rPr>
        <w:t>а</w:t>
      </w:r>
      <w:r w:rsidRPr="004D1A06">
        <w:rPr>
          <w:rFonts w:eastAsia="Calibri"/>
          <w:sz w:val="28"/>
          <w:szCs w:val="28"/>
        </w:rPr>
        <w:t xml:space="preserve"> по товарной группе).</w:t>
      </w: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szCs w:val="28"/>
        </w:rPr>
      </w:pPr>
      <w:r w:rsidRPr="004D1A06">
        <w:rPr>
          <w:rFonts w:eastAsia="Calibri"/>
          <w:sz w:val="28"/>
          <w:szCs w:val="28"/>
        </w:rPr>
        <w:t>В то же время в</w:t>
      </w:r>
      <w:r w:rsidRPr="004D1A06">
        <w:rPr>
          <w:sz w:val="28"/>
          <w:szCs w:val="28"/>
        </w:rPr>
        <w:t xml:space="preserve"> отчетном периоде отмечался нисходящий ценовой тренд по куриным яйцам (-39,7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за первый квартал), который напрямую коррелировал со снижением стоимости импортируемого из Республики Молдова продукта.</w:t>
      </w: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szCs w:val="28"/>
        </w:rPr>
      </w:pPr>
      <w:r w:rsidRPr="004D1A06">
        <w:rPr>
          <w:rFonts w:eastAsia="Calibri"/>
          <w:sz w:val="28"/>
          <w:szCs w:val="28"/>
        </w:rPr>
        <w:t xml:space="preserve">В непродовольственном сегменте в результате </w:t>
      </w:r>
      <w:proofErr w:type="spellStart"/>
      <w:r w:rsidRPr="004D1A06">
        <w:rPr>
          <w:rFonts w:eastAsia="Calibri"/>
          <w:sz w:val="28"/>
          <w:szCs w:val="28"/>
        </w:rPr>
        <w:t>взаимопогашающих</w:t>
      </w:r>
      <w:proofErr w:type="spellEnd"/>
      <w:r w:rsidRPr="004D1A06">
        <w:rPr>
          <w:rFonts w:eastAsia="Calibri"/>
          <w:sz w:val="28"/>
          <w:szCs w:val="28"/>
        </w:rPr>
        <w:t xml:space="preserve"> ценовых колебаний по отдельным позициям групповой индекс инфляции за квартал сложился в пределах 0,5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. </w:t>
      </w:r>
    </w:p>
    <w:p w:rsidR="00784AC4" w:rsidRPr="004D1A06" w:rsidRDefault="00784AC4" w:rsidP="00784AC4">
      <w:pPr>
        <w:ind w:firstLine="709"/>
        <w:jc w:val="both"/>
        <w:rPr>
          <w:rFonts w:eastAsia="Calibri"/>
          <w:sz w:val="28"/>
          <w:szCs w:val="28"/>
        </w:rPr>
      </w:pPr>
      <w:r w:rsidRPr="004D1A06">
        <w:rPr>
          <w:iCs/>
          <w:sz w:val="28"/>
          <w:szCs w:val="28"/>
        </w:rPr>
        <w:t xml:space="preserve">На фоне отсутствия с конца 2022 года существенных колебаний нефтяных котировок на мировом рынке в первом квартале 2023 года наблюдалось уменьшение цен на топливо (-1,9 </w:t>
      </w:r>
      <w:r w:rsidRPr="004D1A06">
        <w:rPr>
          <w:sz w:val="28"/>
        </w:rPr>
        <w:t>процента</w:t>
      </w:r>
      <w:r w:rsidRPr="004D1A06">
        <w:rPr>
          <w:iCs/>
          <w:sz w:val="28"/>
          <w:szCs w:val="28"/>
        </w:rPr>
        <w:t xml:space="preserve">). </w:t>
      </w:r>
      <w:r w:rsidRPr="004D1A06">
        <w:rPr>
          <w:rFonts w:eastAsia="Calibri"/>
          <w:sz w:val="28"/>
          <w:szCs w:val="28"/>
        </w:rPr>
        <w:t xml:space="preserve">При этом в отчетном периоде повышательные ценовые корректировки характеризовали стоимость табачных изделий (+7,7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 за три месяца), печатных изданий </w:t>
      </w:r>
      <w:r w:rsidR="00F955AA">
        <w:rPr>
          <w:rFonts w:eastAsia="Calibri"/>
          <w:sz w:val="28"/>
          <w:szCs w:val="28"/>
        </w:rPr>
        <w:br/>
      </w:r>
      <w:r w:rsidRPr="004D1A06">
        <w:rPr>
          <w:rFonts w:eastAsia="Calibri"/>
          <w:sz w:val="28"/>
          <w:szCs w:val="28"/>
        </w:rPr>
        <w:t xml:space="preserve">(+5,9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), канцтоваров (+3,9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 xml:space="preserve">), строительных материалов </w:t>
      </w:r>
      <w:r w:rsidR="00F955AA">
        <w:rPr>
          <w:rFonts w:eastAsia="Calibri"/>
          <w:sz w:val="28"/>
          <w:szCs w:val="28"/>
        </w:rPr>
        <w:br/>
      </w:r>
      <w:r w:rsidRPr="004D1A06">
        <w:rPr>
          <w:rFonts w:eastAsia="Calibri"/>
          <w:sz w:val="28"/>
          <w:szCs w:val="28"/>
        </w:rPr>
        <w:t xml:space="preserve">(+2,1 </w:t>
      </w:r>
      <w:r w:rsidRPr="004D1A06">
        <w:rPr>
          <w:sz w:val="28"/>
        </w:rPr>
        <w:t>процента</w:t>
      </w:r>
      <w:r w:rsidRPr="004D1A06">
        <w:rPr>
          <w:rFonts w:eastAsia="Calibri"/>
          <w:sz w:val="28"/>
          <w:szCs w:val="28"/>
        </w:rPr>
        <w:t>).</w:t>
      </w:r>
    </w:p>
    <w:p w:rsidR="00784AC4" w:rsidRPr="004D1A06" w:rsidRDefault="00784AC4" w:rsidP="00784AC4">
      <w:pPr>
        <w:ind w:firstLine="709"/>
        <w:jc w:val="both"/>
        <w:rPr>
          <w:rFonts w:eastAsia="Calibri"/>
          <w:iCs/>
          <w:sz w:val="28"/>
          <w:szCs w:val="28"/>
        </w:rPr>
      </w:pPr>
      <w:r w:rsidRPr="004D1A06">
        <w:rPr>
          <w:rFonts w:eastAsia="Calibri"/>
          <w:iCs/>
          <w:sz w:val="28"/>
        </w:rPr>
        <w:lastRenderedPageBreak/>
        <w:t xml:space="preserve">В сегменте услуг инфляция сформировалась на уровне 7,0 </w:t>
      </w:r>
      <w:r w:rsidRPr="004D1A06">
        <w:rPr>
          <w:sz w:val="28"/>
        </w:rPr>
        <w:t>процент</w:t>
      </w:r>
      <w:r w:rsidR="005E3C14">
        <w:rPr>
          <w:sz w:val="28"/>
        </w:rPr>
        <w:t>а</w:t>
      </w:r>
      <w:r w:rsidRPr="004D1A06">
        <w:rPr>
          <w:rFonts w:eastAsia="Calibri"/>
          <w:iCs/>
          <w:sz w:val="28"/>
        </w:rPr>
        <w:t xml:space="preserve">, что является самым высоким значением за последние 11 лет. Наибольшее влияние оказал рост предельных тарифов на медицинские услуги </w:t>
      </w:r>
      <w:r w:rsidR="00F955AA">
        <w:rPr>
          <w:rFonts w:eastAsia="Calibri"/>
          <w:iCs/>
          <w:sz w:val="28"/>
        </w:rPr>
        <w:br/>
      </w:r>
      <w:r w:rsidRPr="004D1A06">
        <w:rPr>
          <w:rFonts w:eastAsia="Calibri"/>
          <w:iCs/>
          <w:sz w:val="28"/>
        </w:rPr>
        <w:t xml:space="preserve">(+65,1 </w:t>
      </w:r>
      <w:r w:rsidRPr="004D1A06">
        <w:rPr>
          <w:sz w:val="28"/>
        </w:rPr>
        <w:t>процента</w:t>
      </w:r>
      <w:r w:rsidRPr="004D1A06">
        <w:rPr>
          <w:rFonts w:eastAsia="Calibri"/>
          <w:iCs/>
          <w:sz w:val="28"/>
        </w:rPr>
        <w:t xml:space="preserve">), стоимость жилищных услуг (+26,6 </w:t>
      </w:r>
      <w:r w:rsidRPr="004D1A06">
        <w:rPr>
          <w:sz w:val="28"/>
        </w:rPr>
        <w:t>процента</w:t>
      </w:r>
      <w:r w:rsidRPr="004D1A06">
        <w:rPr>
          <w:rFonts w:eastAsia="Calibri"/>
          <w:iCs/>
          <w:sz w:val="28"/>
        </w:rPr>
        <w:t xml:space="preserve">), услуг связи (+4,3 </w:t>
      </w:r>
      <w:r w:rsidRPr="004D1A06">
        <w:rPr>
          <w:sz w:val="28"/>
        </w:rPr>
        <w:t>процента</w:t>
      </w:r>
      <w:r w:rsidRPr="004D1A06">
        <w:rPr>
          <w:rFonts w:eastAsia="Calibri"/>
          <w:iCs/>
          <w:sz w:val="28"/>
        </w:rPr>
        <w:t>).</w:t>
      </w: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D1A06">
        <w:rPr>
          <w:bCs/>
          <w:sz w:val="28"/>
          <w:szCs w:val="28"/>
          <w:shd w:val="clear" w:color="auto" w:fill="FFFFFF"/>
        </w:rPr>
        <w:t>Уровень жизни населения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  <w:shd w:val="clear" w:color="auto" w:fill="FFFFFF"/>
        </w:rPr>
        <w:t>Среднемесячная номинальная начисленная заработная плата в целом по экономике с учетом субъектов малого предпринимательства и некоммерческих организаций (без учета силовых структур и таможенных органов) по итогам первого квартала 2023 года оценена на уровне 5 774 рубл</w:t>
      </w:r>
      <w:r w:rsidR="005E3C14">
        <w:rPr>
          <w:sz w:val="28"/>
          <w:szCs w:val="28"/>
          <w:shd w:val="clear" w:color="auto" w:fill="FFFFFF"/>
        </w:rPr>
        <w:t>ей</w:t>
      </w:r>
      <w:r w:rsidRPr="004D1A06">
        <w:rPr>
          <w:sz w:val="28"/>
          <w:szCs w:val="28"/>
          <w:shd w:val="clear" w:color="auto" w:fill="FFFFFF"/>
        </w:rPr>
        <w:t xml:space="preserve">, что на 5,6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  <w:shd w:val="clear" w:color="auto" w:fill="FFFFFF"/>
        </w:rPr>
        <w:t xml:space="preserve"> выше базисного показателя (-6,0 </w:t>
      </w:r>
      <w:r w:rsidRPr="004D1A06">
        <w:rPr>
          <w:sz w:val="28"/>
        </w:rPr>
        <w:t>процент</w:t>
      </w:r>
      <w:r w:rsidR="00E910C4">
        <w:rPr>
          <w:sz w:val="28"/>
        </w:rPr>
        <w:t>а</w:t>
      </w:r>
      <w:r w:rsidRPr="004D1A06">
        <w:rPr>
          <w:sz w:val="28"/>
          <w:szCs w:val="28"/>
          <w:shd w:val="clear" w:color="auto" w:fill="FFFFFF"/>
        </w:rPr>
        <w:t xml:space="preserve"> без учета влияния ценового фактора).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  <w:shd w:val="clear" w:color="auto" w:fill="FFFFFF"/>
        </w:rPr>
      </w:pPr>
      <w:r w:rsidRPr="004D1A06">
        <w:rPr>
          <w:sz w:val="28"/>
          <w:szCs w:val="28"/>
          <w:shd w:val="clear" w:color="auto" w:fill="FFFFFF"/>
        </w:rPr>
        <w:t xml:space="preserve">Умеренный номинальный рост уровня заработных плат на фоне значительного удорожания стоимости минимального набора товаров и услуг, необходимых для поддержания жизнедеятельности трудоспособного населения (+12,4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  <w:shd w:val="clear" w:color="auto" w:fill="FFFFFF"/>
        </w:rPr>
        <w:t xml:space="preserve"> до 2</w:t>
      </w:r>
      <w:r w:rsidR="005E3C14">
        <w:rPr>
          <w:sz w:val="28"/>
          <w:szCs w:val="28"/>
          <w:shd w:val="clear" w:color="auto" w:fill="FFFFFF"/>
        </w:rPr>
        <w:t> </w:t>
      </w:r>
      <w:r w:rsidRPr="004D1A06">
        <w:rPr>
          <w:sz w:val="28"/>
          <w:szCs w:val="28"/>
          <w:shd w:val="clear" w:color="auto" w:fill="FFFFFF"/>
        </w:rPr>
        <w:t>026,3 рубл</w:t>
      </w:r>
      <w:r w:rsidR="005E3C14">
        <w:rPr>
          <w:sz w:val="28"/>
          <w:szCs w:val="28"/>
          <w:shd w:val="clear" w:color="auto" w:fill="FFFFFF"/>
        </w:rPr>
        <w:t>я</w:t>
      </w:r>
      <w:r w:rsidRPr="004D1A06">
        <w:rPr>
          <w:sz w:val="28"/>
          <w:szCs w:val="28"/>
          <w:shd w:val="clear" w:color="auto" w:fill="FFFFFF"/>
        </w:rPr>
        <w:t>), определил снижение покупательной способности усредненной заработной платы по экономике до 2,85 такого набора (против 3,03 в январе</w:t>
      </w:r>
      <w:r w:rsidR="005E3C14">
        <w:rPr>
          <w:sz w:val="28"/>
          <w:szCs w:val="28"/>
          <w:shd w:val="clear" w:color="auto" w:fill="FFFFFF"/>
        </w:rPr>
        <w:t>–</w:t>
      </w:r>
      <w:r w:rsidRPr="004D1A06">
        <w:rPr>
          <w:sz w:val="28"/>
          <w:szCs w:val="28"/>
          <w:shd w:val="clear" w:color="auto" w:fill="FFFFFF"/>
        </w:rPr>
        <w:t>марте 2022 года).</w:t>
      </w:r>
      <w:r w:rsidRPr="004D1A06">
        <w:rPr>
          <w:sz w:val="28"/>
          <w:szCs w:val="26"/>
        </w:rPr>
        <w:t xml:space="preserve"> </w:t>
      </w:r>
    </w:p>
    <w:p w:rsidR="00784AC4" w:rsidRPr="004D1A06" w:rsidRDefault="00784AC4" w:rsidP="00784AC4">
      <w:pPr>
        <w:ind w:firstLine="709"/>
        <w:jc w:val="both"/>
        <w:rPr>
          <w:bCs/>
          <w:sz w:val="28"/>
        </w:rPr>
      </w:pPr>
      <w:r w:rsidRPr="004D1A06">
        <w:rPr>
          <w:sz w:val="28"/>
          <w:szCs w:val="28"/>
        </w:rPr>
        <w:t xml:space="preserve">В отраслевом разрезе в </w:t>
      </w:r>
      <w:r w:rsidR="005E3C14">
        <w:rPr>
          <w:sz w:val="28"/>
          <w:szCs w:val="28"/>
        </w:rPr>
        <w:t>январе–марте</w:t>
      </w:r>
      <w:r w:rsidRPr="004D1A06">
        <w:rPr>
          <w:sz w:val="28"/>
          <w:szCs w:val="28"/>
        </w:rPr>
        <w:t xml:space="preserve"> 2023 года темпы прироста заработной платы в номинальном выражении по республике варьировали от +3,6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у работников промышленности до +42,2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– в сфере лесного хозяйства</w:t>
      </w:r>
    </w:p>
    <w:p w:rsidR="00784AC4" w:rsidRPr="004D1A06" w:rsidRDefault="00784AC4" w:rsidP="00784AC4">
      <w:pPr>
        <w:widowControl w:val="0"/>
        <w:ind w:firstLine="709"/>
        <w:jc w:val="both"/>
        <w:rPr>
          <w:bCs/>
          <w:sz w:val="28"/>
          <w:szCs w:val="28"/>
        </w:rPr>
      </w:pPr>
      <w:r w:rsidRPr="004D1A06">
        <w:rPr>
          <w:rFonts w:eastAsia="Calibri"/>
          <w:bCs/>
          <w:sz w:val="28"/>
          <w:szCs w:val="28"/>
        </w:rPr>
        <w:t xml:space="preserve">Во внебюджетном секторе начисленная среднемесячная заработная плата одного работника выросла по отношению к аналогичному показателю 2022 года на 5,4 </w:t>
      </w:r>
      <w:r w:rsidRPr="004D1A06">
        <w:rPr>
          <w:sz w:val="28"/>
        </w:rPr>
        <w:t>процента</w:t>
      </w:r>
      <w:r w:rsidR="005E3C14">
        <w:rPr>
          <w:sz w:val="28"/>
        </w:rPr>
        <w:t>,</w:t>
      </w:r>
      <w:r w:rsidRPr="004D1A06">
        <w:rPr>
          <w:rFonts w:eastAsia="Calibri"/>
          <w:bCs/>
          <w:sz w:val="28"/>
          <w:szCs w:val="28"/>
        </w:rPr>
        <w:t xml:space="preserve"> до 7 250 рублей, при этом в реальном выражении ее величина сократилась на 6,2 </w:t>
      </w:r>
      <w:r w:rsidRPr="004D1A06">
        <w:rPr>
          <w:sz w:val="28"/>
        </w:rPr>
        <w:t>процента</w:t>
      </w:r>
      <w:r w:rsidRPr="004D1A06">
        <w:rPr>
          <w:rFonts w:eastAsia="Calibri"/>
          <w:bCs/>
          <w:sz w:val="28"/>
          <w:szCs w:val="28"/>
        </w:rPr>
        <w:t xml:space="preserve">. </w:t>
      </w:r>
      <w:r w:rsidRPr="004D1A06">
        <w:rPr>
          <w:bCs/>
          <w:sz w:val="28"/>
          <w:szCs w:val="28"/>
        </w:rPr>
        <w:t xml:space="preserve">Наибольший рост заработной платы зафиксирован у сотрудников сферы строительства (+15,5 </w:t>
      </w:r>
      <w:r w:rsidRPr="004D1A06">
        <w:rPr>
          <w:sz w:val="28"/>
        </w:rPr>
        <w:t>процента</w:t>
      </w:r>
      <w:r w:rsidRPr="004D1A06">
        <w:rPr>
          <w:bCs/>
          <w:sz w:val="28"/>
          <w:szCs w:val="28"/>
        </w:rPr>
        <w:t xml:space="preserve">), страхования (+12,3 </w:t>
      </w:r>
      <w:r w:rsidRPr="004D1A06">
        <w:rPr>
          <w:sz w:val="28"/>
        </w:rPr>
        <w:t>процента</w:t>
      </w:r>
      <w:r w:rsidRPr="004D1A06">
        <w:rPr>
          <w:bCs/>
          <w:sz w:val="28"/>
          <w:szCs w:val="28"/>
        </w:rPr>
        <w:t xml:space="preserve">), связи (+11,3 </w:t>
      </w:r>
      <w:r w:rsidRPr="004D1A06">
        <w:rPr>
          <w:sz w:val="28"/>
        </w:rPr>
        <w:t>процента</w:t>
      </w:r>
      <w:r w:rsidRPr="004D1A06">
        <w:rPr>
          <w:bCs/>
          <w:sz w:val="28"/>
          <w:szCs w:val="28"/>
        </w:rPr>
        <w:t xml:space="preserve">), здравоохранения </w:t>
      </w:r>
      <w:r w:rsidR="00F955AA">
        <w:rPr>
          <w:bCs/>
          <w:sz w:val="28"/>
          <w:szCs w:val="28"/>
        </w:rPr>
        <w:br/>
      </w:r>
      <w:r w:rsidRPr="004D1A06">
        <w:rPr>
          <w:bCs/>
          <w:sz w:val="28"/>
          <w:szCs w:val="28"/>
        </w:rPr>
        <w:t xml:space="preserve">(+10,2 </w:t>
      </w:r>
      <w:r w:rsidRPr="004D1A06">
        <w:rPr>
          <w:sz w:val="28"/>
        </w:rPr>
        <w:t>процента</w:t>
      </w:r>
      <w:r w:rsidRPr="004D1A06">
        <w:rPr>
          <w:bCs/>
          <w:sz w:val="28"/>
          <w:szCs w:val="28"/>
        </w:rPr>
        <w:t>).</w:t>
      </w:r>
    </w:p>
    <w:p w:rsidR="00784AC4" w:rsidRPr="004D1A06" w:rsidRDefault="00784AC4" w:rsidP="00784AC4">
      <w:pPr>
        <w:widowControl w:val="0"/>
        <w:ind w:firstLine="709"/>
        <w:jc w:val="both"/>
        <w:rPr>
          <w:strike/>
          <w:sz w:val="28"/>
          <w:szCs w:val="28"/>
        </w:rPr>
      </w:pPr>
      <w:r w:rsidRPr="004D1A06">
        <w:rPr>
          <w:bCs/>
          <w:sz w:val="28"/>
          <w:szCs w:val="28"/>
        </w:rPr>
        <w:t xml:space="preserve">Средняя номинальная заработная плата занятых в бюджетном секторе сложилась на отметке 4 238 рублей (+4,8 </w:t>
      </w:r>
      <w:r w:rsidRPr="004D1A06">
        <w:rPr>
          <w:sz w:val="28"/>
        </w:rPr>
        <w:t>процента</w:t>
      </w:r>
      <w:r w:rsidRPr="004D1A06">
        <w:rPr>
          <w:bCs/>
          <w:sz w:val="28"/>
          <w:szCs w:val="28"/>
        </w:rPr>
        <w:t xml:space="preserve"> к отметке 2022 года), но с учетом</w:t>
      </w:r>
      <w:r w:rsidRPr="004D1A06">
        <w:rPr>
          <w:sz w:val="28"/>
          <w:szCs w:val="28"/>
        </w:rPr>
        <w:t xml:space="preserve"> корректировки на индекс инфляции материальное обеспечение работников сократилось на 6,7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. В </w:t>
      </w:r>
      <w:r w:rsidR="005E3C14">
        <w:rPr>
          <w:sz w:val="28"/>
          <w:szCs w:val="28"/>
        </w:rPr>
        <w:t>январе–марте</w:t>
      </w:r>
      <w:r w:rsidRPr="004D1A06">
        <w:rPr>
          <w:sz w:val="28"/>
          <w:szCs w:val="28"/>
        </w:rPr>
        <w:t xml:space="preserve"> наблюдался рост заработных плат в бюджетном секторе у работников сельского хозяйства (+28,4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), судебной власти (+19,5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), в сфере физкультуры, отдыха и туризма (+12,8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>).</w:t>
      </w:r>
    </w:p>
    <w:p w:rsidR="00784AC4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Средняя заработная плата в отрасли «образование» в рассматриваемом периоде выросла на 14,4 </w:t>
      </w:r>
      <w:r w:rsidRPr="004D1A06">
        <w:rPr>
          <w:sz w:val="28"/>
        </w:rPr>
        <w:t>процента</w:t>
      </w:r>
      <w:r w:rsidRPr="004D1A06">
        <w:rPr>
          <w:sz w:val="28"/>
          <w:szCs w:val="28"/>
        </w:rPr>
        <w:t xml:space="preserve"> и составила 4</w:t>
      </w:r>
      <w:r w:rsidR="00F955AA">
        <w:rPr>
          <w:sz w:val="28"/>
          <w:szCs w:val="28"/>
        </w:rPr>
        <w:t> </w:t>
      </w:r>
      <w:r w:rsidRPr="004D1A06">
        <w:rPr>
          <w:sz w:val="28"/>
          <w:szCs w:val="28"/>
        </w:rPr>
        <w:t>066</w:t>
      </w:r>
      <w:r w:rsidR="00F955AA">
        <w:rPr>
          <w:sz w:val="28"/>
          <w:szCs w:val="28"/>
        </w:rPr>
        <w:t xml:space="preserve"> </w:t>
      </w:r>
      <w:r w:rsidRPr="004D1A06">
        <w:rPr>
          <w:sz w:val="28"/>
          <w:szCs w:val="28"/>
        </w:rPr>
        <w:t xml:space="preserve">рублей. В сфере здравоохранения на фоне сокращения объемов доплат за борьбу с </w:t>
      </w:r>
      <w:proofErr w:type="spellStart"/>
      <w:r w:rsidRPr="004D1A06">
        <w:rPr>
          <w:sz w:val="28"/>
          <w:szCs w:val="28"/>
        </w:rPr>
        <w:t>коронавирусной</w:t>
      </w:r>
      <w:proofErr w:type="spellEnd"/>
      <w:r w:rsidRPr="004D1A06">
        <w:rPr>
          <w:sz w:val="28"/>
          <w:szCs w:val="28"/>
        </w:rPr>
        <w:t xml:space="preserve"> инфекцией медицинским работникам отмечено уменьшение средней номинальной начисленной зарплаты на 17,5 </w:t>
      </w:r>
      <w:r w:rsidRPr="004D1A06">
        <w:rPr>
          <w:sz w:val="28"/>
        </w:rPr>
        <w:t>процента</w:t>
      </w:r>
      <w:r w:rsidR="005E3C14">
        <w:rPr>
          <w:sz w:val="28"/>
          <w:szCs w:val="28"/>
        </w:rPr>
        <w:t xml:space="preserve">, </w:t>
      </w:r>
      <w:r w:rsidR="005E3C14">
        <w:rPr>
          <w:sz w:val="28"/>
          <w:szCs w:val="28"/>
        </w:rPr>
        <w:br/>
      </w:r>
      <w:r w:rsidRPr="004D1A06">
        <w:rPr>
          <w:sz w:val="28"/>
          <w:szCs w:val="28"/>
        </w:rPr>
        <w:t>до 4 186 рублей.</w:t>
      </w:r>
    </w:p>
    <w:p w:rsidR="008D20F4" w:rsidRDefault="008D20F4" w:rsidP="00784AC4">
      <w:pPr>
        <w:widowControl w:val="0"/>
        <w:ind w:firstLine="709"/>
        <w:jc w:val="both"/>
        <w:rPr>
          <w:sz w:val="28"/>
          <w:szCs w:val="28"/>
        </w:rPr>
      </w:pPr>
    </w:p>
    <w:p w:rsidR="008D20F4" w:rsidRDefault="008D20F4" w:rsidP="00784AC4">
      <w:pPr>
        <w:widowControl w:val="0"/>
        <w:ind w:firstLine="709"/>
        <w:jc w:val="both"/>
        <w:rPr>
          <w:sz w:val="28"/>
          <w:szCs w:val="28"/>
        </w:rPr>
      </w:pPr>
    </w:p>
    <w:p w:rsidR="00784AC4" w:rsidRPr="004D1A06" w:rsidRDefault="00784AC4" w:rsidP="00F955AA">
      <w:pPr>
        <w:widowControl w:val="0"/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lastRenderedPageBreak/>
        <w:t>4. Оценка перспектив развития мировой экономики до конца 2023 года</w:t>
      </w:r>
    </w:p>
    <w:p w:rsidR="00784AC4" w:rsidRPr="004D1A06" w:rsidRDefault="00784AC4" w:rsidP="00784AC4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A06">
        <w:rPr>
          <w:rFonts w:ascii="Times New Roman" w:hAnsi="Times New Roman" w:cs="Times New Roman"/>
          <w:bCs/>
          <w:sz w:val="28"/>
          <w:szCs w:val="28"/>
        </w:rPr>
        <w:t>и на 2024 год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val="ru-MD"/>
        </w:rPr>
      </w:pPr>
      <w:r w:rsidRPr="004D1A06">
        <w:rPr>
          <w:sz w:val="28"/>
          <w:szCs w:val="28"/>
          <w:lang w:val="ru-MD"/>
        </w:rPr>
        <w:t>С начала 2023 года фиксируется относительное улучшение перспектив роста в крупнейших мировых экономиках</w:t>
      </w:r>
      <w:r w:rsidRPr="004D1A06">
        <w:rPr>
          <w:sz w:val="28"/>
          <w:szCs w:val="28"/>
        </w:rPr>
        <w:t>. Ключевым фактором расширения деловой активности</w:t>
      </w:r>
      <w:r w:rsidRPr="004D1A06">
        <w:rPr>
          <w:sz w:val="28"/>
          <w:szCs w:val="28"/>
          <w:lang w:val="ru-MD"/>
        </w:rPr>
        <w:t xml:space="preserve"> стало снижение мировых цен на продукты питания, а также на энергоносители, что частично обусловлено влиянием теплой зимы в Европе, которая помогла сохранить объемы хранения газа, а также снизить потребление энергии во многих странах. </w:t>
      </w:r>
    </w:p>
    <w:p w:rsidR="00784AC4" w:rsidRPr="004D1A06" w:rsidRDefault="00784AC4" w:rsidP="00784AC4">
      <w:pPr>
        <w:shd w:val="clear" w:color="auto" w:fill="FFFFFF"/>
        <w:ind w:firstLine="709"/>
        <w:jc w:val="both"/>
      </w:pPr>
      <w:r w:rsidRPr="004D1A06">
        <w:rPr>
          <w:sz w:val="28"/>
          <w:szCs w:val="28"/>
          <w:lang w:val="ru-MD"/>
        </w:rPr>
        <w:t>Постепенная нормализация структуры спроса на товары и устранение узких мест в глобальной цепочке поставок способствовали замедлению темпов прироста цен на товары в большинстве стран, что в итоге подтолкнуло вниз общий уровень ценового давления на потребителя. В то же время базовая инфляция (за исключением продуктов питания и энергоносителей) по-прежнему обусловлена сильным ростом стоимости услуг в условиях жесткой конъюнктуры рынка труда в ряде стран.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Сохраняются факторы уязвимости банковского сектора, которые могут оказать более сильное влияние на экономический рост, чем ожидалось, также возрастают риски цепной реакции в финансовом секторе в целом.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val="ru-MD"/>
        </w:rPr>
      </w:pPr>
      <w:r w:rsidRPr="004D1A06">
        <w:rPr>
          <w:sz w:val="28"/>
          <w:szCs w:val="28"/>
          <w:lang w:val="ru-MD"/>
        </w:rPr>
        <w:t>В условиях напряженной геополитической ситуации в Восточной Европе перспективы восстановления мировой экономики в 2023</w:t>
      </w:r>
      <w:r w:rsidR="00F955AA">
        <w:rPr>
          <w:sz w:val="28"/>
          <w:szCs w:val="28"/>
          <w:lang w:val="ru-MD"/>
        </w:rPr>
        <w:t>–</w:t>
      </w:r>
      <w:r w:rsidRPr="004D1A06">
        <w:rPr>
          <w:sz w:val="28"/>
          <w:szCs w:val="28"/>
          <w:lang w:val="ru-MD"/>
        </w:rPr>
        <w:t>2024 годах остаются неустойчивыми с преобладанием рисков снижения.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Согласно </w:t>
      </w:r>
      <w:proofErr w:type="gramStart"/>
      <w:r w:rsidRPr="004D1A06">
        <w:rPr>
          <w:sz w:val="28"/>
          <w:szCs w:val="28"/>
        </w:rPr>
        <w:t>прогнозам мировых экспертов</w:t>
      </w:r>
      <w:proofErr w:type="gramEnd"/>
      <w:r w:rsidRPr="004D1A06">
        <w:rPr>
          <w:sz w:val="28"/>
          <w:szCs w:val="28"/>
        </w:rPr>
        <w:t xml:space="preserve"> в 2023</w:t>
      </w:r>
      <w:r w:rsidR="00F955AA">
        <w:rPr>
          <w:sz w:val="28"/>
          <w:szCs w:val="28"/>
        </w:rPr>
        <w:t>–</w:t>
      </w:r>
      <w:r w:rsidRPr="004D1A06">
        <w:rPr>
          <w:sz w:val="28"/>
          <w:szCs w:val="28"/>
        </w:rPr>
        <w:t>2024 годах темпы глобального роста останутся ниже показателей 2022 года, а инфляция будет постепенно замедляться по мере ужесточения в странах проводимой денежно-кредитной политики.</w:t>
      </w:r>
    </w:p>
    <w:p w:rsidR="00784AC4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В базовом прогнозе</w:t>
      </w:r>
      <w:r w:rsidRPr="004D1A06">
        <w:rPr>
          <w:rStyle w:val="a5"/>
          <w:sz w:val="28"/>
          <w:szCs w:val="28"/>
        </w:rPr>
        <w:footnoteReference w:id="1"/>
      </w:r>
      <w:r w:rsidRPr="004D1A06">
        <w:rPr>
          <w:sz w:val="28"/>
          <w:szCs w:val="28"/>
        </w:rPr>
        <w:t xml:space="preserve"> ожидается, что мировой экономический рост снизится с 3,4 процента в 2022 году до 2,8 процента в 2023 году, после чего установится на уровне 3,0 процент</w:t>
      </w:r>
      <w:r w:rsidR="00906E27">
        <w:rPr>
          <w:sz w:val="28"/>
          <w:szCs w:val="28"/>
        </w:rPr>
        <w:t>а</w:t>
      </w:r>
      <w:r w:rsidRPr="004D1A06">
        <w:rPr>
          <w:sz w:val="28"/>
          <w:szCs w:val="28"/>
        </w:rPr>
        <w:t xml:space="preserve"> в 2024 году (таблица). </w:t>
      </w:r>
    </w:p>
    <w:p w:rsidR="00F955AA" w:rsidRPr="004D1A06" w:rsidRDefault="00F955AA" w:rsidP="00784A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ind w:firstLine="709"/>
        <w:jc w:val="right"/>
        <w:rPr>
          <w:sz w:val="27"/>
          <w:szCs w:val="27"/>
        </w:rPr>
      </w:pPr>
      <w:r w:rsidRPr="004D1A06">
        <w:rPr>
          <w:sz w:val="27"/>
          <w:szCs w:val="27"/>
        </w:rPr>
        <w:t>Таблица</w:t>
      </w:r>
    </w:p>
    <w:p w:rsidR="00784AC4" w:rsidRDefault="00784AC4" w:rsidP="00784AC4">
      <w:pPr>
        <w:shd w:val="clear" w:color="auto" w:fill="FFFFFF"/>
        <w:jc w:val="center"/>
        <w:rPr>
          <w:sz w:val="28"/>
          <w:szCs w:val="28"/>
        </w:rPr>
      </w:pPr>
      <w:r w:rsidRPr="004D1A06">
        <w:rPr>
          <w:sz w:val="28"/>
          <w:szCs w:val="28"/>
        </w:rPr>
        <w:t>Оценка динамики роста реального валового внутреннего продукта</w:t>
      </w:r>
      <w:r w:rsidRPr="004D1A06">
        <w:rPr>
          <w:sz w:val="28"/>
          <w:szCs w:val="28"/>
        </w:rPr>
        <w:br/>
        <w:t>в 2022</w:t>
      </w:r>
      <w:r w:rsidR="00F955AA">
        <w:rPr>
          <w:sz w:val="28"/>
          <w:szCs w:val="28"/>
        </w:rPr>
        <w:t>–</w:t>
      </w:r>
      <w:r w:rsidRPr="004D1A06">
        <w:rPr>
          <w:sz w:val="28"/>
          <w:szCs w:val="28"/>
        </w:rPr>
        <w:t>2024 годах, проценты</w:t>
      </w:r>
    </w:p>
    <w:p w:rsidR="00F955AA" w:rsidRPr="004D1A06" w:rsidRDefault="00F955AA" w:rsidP="00784AC4">
      <w:pPr>
        <w:shd w:val="clear" w:color="auto" w:fill="FFFFFF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11"/>
        <w:gridCol w:w="1564"/>
        <w:gridCol w:w="1979"/>
      </w:tblGrid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2023 год ожидаемый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2024 год</w:t>
            </w:r>
          </w:p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прогноз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4AC4" w:rsidRPr="00F955AA" w:rsidRDefault="00784AC4" w:rsidP="00F25BE8">
            <w:pPr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 w:rsidRPr="00F955AA">
              <w:rPr>
                <w:bCs/>
                <w:kern w:val="2"/>
                <w:sz w:val="26"/>
                <w:szCs w:val="26"/>
                <w:lang w:eastAsia="en-US"/>
              </w:rPr>
              <w:t>Мировая экономика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F955AA">
              <w:rPr>
                <w:bCs/>
                <w:kern w:val="2"/>
                <w:sz w:val="26"/>
                <w:szCs w:val="26"/>
                <w:lang w:eastAsia="en-US"/>
              </w:rPr>
              <w:t>3,4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F955AA">
              <w:rPr>
                <w:bCs/>
                <w:kern w:val="2"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F955AA">
              <w:rPr>
                <w:bCs/>
                <w:kern w:val="2"/>
                <w:sz w:val="26"/>
                <w:szCs w:val="26"/>
                <w:lang w:eastAsia="en-US"/>
              </w:rPr>
              <w:t>3,0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Страны с развитой экономикой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2,7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1,4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Соединенные Штаты Америки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2,1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1,1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Еврозона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1,4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 xml:space="preserve">Страны с формирующимся рынком </w:t>
            </w:r>
            <w:r w:rsidRPr="00F955AA">
              <w:rPr>
                <w:kern w:val="2"/>
                <w:sz w:val="26"/>
                <w:szCs w:val="26"/>
                <w:lang w:eastAsia="en-US"/>
              </w:rPr>
              <w:br/>
              <w:t>и развивающиеся страны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4,0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4,2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-2,1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1,3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lastRenderedPageBreak/>
              <w:t>Украина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-30,3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-3,0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 xml:space="preserve">Прогноз отсутствует 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Молдова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-5,6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4,3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Китай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5,2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4,5</w:t>
            </w:r>
          </w:p>
        </w:tc>
      </w:tr>
      <w:tr w:rsidR="00784AC4" w:rsidRPr="004D1A06" w:rsidTr="00F25BE8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Индия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6,8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C4" w:rsidRPr="00F955AA" w:rsidRDefault="00784AC4" w:rsidP="00F25B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F955AA">
              <w:rPr>
                <w:kern w:val="2"/>
                <w:sz w:val="26"/>
                <w:szCs w:val="26"/>
                <w:lang w:eastAsia="en-US"/>
              </w:rPr>
              <w:t>6,3</w:t>
            </w:r>
          </w:p>
        </w:tc>
      </w:tr>
    </w:tbl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В странах с развитой экономикой, как ожидается, замедление роста будет особенно значительным: с 2,7 процента в 2022 году до 1,3 процента в 2023 году и 1,4 процента в 2024 году.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Страны с формирующимся рынком будут в меньшей степени затронуты глобальным спадом, чему будет способствовать восстановление в Китае и более умеренное инфляционное давление: в 2023 году ожидается расширение экономик на уровне 3,9 процента и 4,2 процента к 2024 году.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Общий уровень инфляции в мире понизится с 8,7 процента в 2022 году до 7,0 процента в 2023 году и 4,9 процента в 2024 году, но все равно будет оставаться значительно выше целевого уровня почти во всех странах.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На мировых сырьевых рынках до конца 2023 года прогнозируется существенное сокращение цен на сырую нефть марки </w:t>
      </w:r>
      <w:r w:rsidRPr="004D1A06">
        <w:rPr>
          <w:sz w:val="28"/>
          <w:szCs w:val="28"/>
          <w:lang w:val="en-US"/>
        </w:rPr>
        <w:t>Brent</w:t>
      </w:r>
      <w:r w:rsidR="00906E27">
        <w:rPr>
          <w:sz w:val="28"/>
          <w:szCs w:val="28"/>
        </w:rPr>
        <w:t>:</w:t>
      </w:r>
      <w:r w:rsidRPr="004D1A06">
        <w:rPr>
          <w:sz w:val="28"/>
          <w:szCs w:val="28"/>
        </w:rPr>
        <w:t xml:space="preserve"> с 96,4 доллара за баррель в 2022 году до 73,1 доллара в 2023 году с последующим сохранением понижательной динамики. При этом влияние на изменение ценового тренда на «черное золото» могут оказать сохраняющаяся неопределенность восстановления экономики Китая, а также потенциальные перебои в поставках в условиях санкций.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На рынке металлов, согласно прогнозам, индекс цен на базовые металлы увеличится на 3,5 процента в 2023 году, а затем снизится на 2,6 процента в 2024 году. Основной расчет – на потенциальное восстановление спроса со стороны Китая.</w:t>
      </w:r>
    </w:p>
    <w:p w:rsidR="00784AC4" w:rsidRPr="004D1A06" w:rsidRDefault="00784AC4" w:rsidP="00784AC4">
      <w:pPr>
        <w:shd w:val="clear" w:color="auto" w:fill="FFFFFF"/>
        <w:jc w:val="center"/>
        <w:rPr>
          <w:sz w:val="28"/>
          <w:szCs w:val="28"/>
        </w:rPr>
      </w:pPr>
    </w:p>
    <w:p w:rsidR="00784AC4" w:rsidRPr="004D1A06" w:rsidRDefault="00784AC4" w:rsidP="00784AC4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A06">
        <w:rPr>
          <w:rFonts w:ascii="Times New Roman" w:hAnsi="Times New Roman" w:cs="Times New Roman"/>
          <w:bCs/>
          <w:sz w:val="28"/>
          <w:szCs w:val="28"/>
        </w:rPr>
        <w:t>5. Оценка факторов и ограничений социально-экономического развития Приднестровской Молдавской Республики до конца 2023 года и на 2024 год</w:t>
      </w:r>
    </w:p>
    <w:p w:rsidR="00784AC4" w:rsidRPr="004D1A06" w:rsidRDefault="00784AC4" w:rsidP="00784AC4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Высокий уровень неопределенности развития внешней ситуации вокруг Приднестровской Молдавской Республики, сохранение рисков усиления деструктивных действий со стороны Республики Молдова, которые могут существенно повлиять на экспортно-импортные потоки, а также на работу главных системообразующих организаций, окажут основное воздействие на вектор развития Приднестровской Молдавской Республики до конца 2023 года и в 2024 году.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Стоит отметить, что к началу 2023 года в сфере международных расчетов и платежей отмечается адаптация приднестровской банковской системы и реального сектора к внешним ограничениям, в том числе к санкциям, наложенным на банковскую систему Российской Федерации </w:t>
      </w:r>
      <w:r w:rsidR="00F955AA">
        <w:rPr>
          <w:bCs/>
          <w:sz w:val="28"/>
          <w:szCs w:val="28"/>
        </w:rPr>
        <w:br/>
      </w:r>
      <w:r w:rsidRPr="004D1A06">
        <w:rPr>
          <w:bCs/>
          <w:sz w:val="28"/>
          <w:szCs w:val="28"/>
        </w:rPr>
        <w:t>в 2022 году.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Гибкая валютная политика Приднестровского республиканского банка, активный поиск наиболее эффективных способов проведения международных </w:t>
      </w:r>
      <w:r w:rsidRPr="004D1A06">
        <w:rPr>
          <w:bCs/>
          <w:sz w:val="28"/>
          <w:szCs w:val="28"/>
        </w:rPr>
        <w:lastRenderedPageBreak/>
        <w:t>расчетов и платежей, меры по недопущению развития существенных дисбалансов в экономике и финансовой сфере будут направлены на сохранение хрупкой устойчивости приднестровской банковской системы до конца прогнозного периода при отсутствии новых серьезных внешних шоков и вызовов в прогнозируемом периоде.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84AC4" w:rsidRPr="004D1A06" w:rsidRDefault="00784AC4" w:rsidP="00784AC4">
      <w:pPr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>Базовый прогнозный сценарий социально-экономического развития республики на 2024 год основывается на следующих предпосылках: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 xml:space="preserve">а) сохранение возможности осуществления внешнеэкономической деятельности, а также проведения платежно-расчетных операций </w:t>
      </w:r>
      <w:r w:rsidRPr="004D1A06">
        <w:rPr>
          <w:sz w:val="28"/>
          <w:szCs w:val="28"/>
          <w:lang w:eastAsia="en-US"/>
        </w:rPr>
        <w:br/>
        <w:t>с зарубежными контрагентами;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>б) сохранение бесперебойного газоснабжения республики;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>в) сохранение стабильной работы металлургической отрасли;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  <w:lang w:eastAsia="en-US"/>
        </w:rPr>
        <w:t xml:space="preserve">г) </w:t>
      </w:r>
      <w:r w:rsidRPr="004D1A06">
        <w:rPr>
          <w:sz w:val="28"/>
          <w:szCs w:val="28"/>
        </w:rPr>
        <w:t>заключение контракта на экспорт электроэнергии в Республику Молдова до конца 2024 года, а также стабильный спрос отечественных энергоемких производств;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</w:rPr>
        <w:t>д) поддержание</w:t>
      </w:r>
      <w:r w:rsidRPr="004D1A06">
        <w:rPr>
          <w:rStyle w:val="11"/>
          <w:sz w:val="28"/>
          <w:szCs w:val="28"/>
        </w:rPr>
        <w:t xml:space="preserve"> на внутреннем валютном рынке официального курса доллара США к рублю Приднестровской Молдавской Республики в пределах установленных в соответствии с Основными направлениями единой государственной денежно-кредитной политики на 2023 год границ валютного коридора.</w:t>
      </w:r>
    </w:p>
    <w:p w:rsidR="00784AC4" w:rsidRPr="004D1A06" w:rsidRDefault="00784AC4" w:rsidP="00784AC4">
      <w:pPr>
        <w:shd w:val="clear" w:color="auto" w:fill="FFFFFF"/>
        <w:jc w:val="center"/>
        <w:rPr>
          <w:bCs/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 xml:space="preserve">6. Оценка ожидаемого уровня социально-экономического развития </w:t>
      </w:r>
    </w:p>
    <w:p w:rsidR="00784AC4" w:rsidRPr="004D1A06" w:rsidRDefault="00784AC4" w:rsidP="00784AC4">
      <w:pPr>
        <w:shd w:val="clear" w:color="auto" w:fill="FFFFFF"/>
        <w:jc w:val="center"/>
        <w:rPr>
          <w:bCs/>
          <w:sz w:val="28"/>
          <w:szCs w:val="28"/>
        </w:rPr>
      </w:pPr>
      <w:r w:rsidRPr="004D1A06">
        <w:rPr>
          <w:bCs/>
          <w:sz w:val="28"/>
          <w:szCs w:val="28"/>
        </w:rPr>
        <w:t>до конца 2023 года</w:t>
      </w:r>
    </w:p>
    <w:p w:rsidR="00784AC4" w:rsidRPr="004D1A06" w:rsidRDefault="00784AC4" w:rsidP="00784AC4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Сохранение напряженного внешнего фона по периметру Приднестровской Молдавской Республики будет оказывать непосредственное влияние на развитие экономики республики. </w:t>
      </w:r>
    </w:p>
    <w:p w:rsidR="00784AC4" w:rsidRPr="004D1A06" w:rsidRDefault="00784AC4" w:rsidP="00784AC4">
      <w:pPr>
        <w:pStyle w:val="a4"/>
        <w:tabs>
          <w:tab w:val="left" w:pos="2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До конца 2023 года резкого улучшения условий хозяйствования для экономических агентов относительно текущих не ожидается. При сохранении базисных предпосылок стабилизационные процессы в экономике будут носить слабоположительный характер.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При отсутствии новых внешних шоков и вызовов ожидаемый объем промышленного производства республики по итогам 2023 года составит 15 385,0 миллион</w:t>
      </w:r>
      <w:r w:rsidR="0060183C">
        <w:rPr>
          <w:sz w:val="28"/>
          <w:szCs w:val="28"/>
        </w:rPr>
        <w:t>а</w:t>
      </w:r>
      <w:r w:rsidRPr="004D1A06">
        <w:rPr>
          <w:sz w:val="28"/>
          <w:szCs w:val="28"/>
        </w:rPr>
        <w:t xml:space="preserve"> рублей, незначительно превысив показатель 2022 года </w:t>
      </w:r>
      <w:r w:rsidR="0060183C">
        <w:rPr>
          <w:sz w:val="28"/>
          <w:szCs w:val="28"/>
        </w:rPr>
        <w:br/>
      </w:r>
      <w:r w:rsidRPr="004D1A06">
        <w:rPr>
          <w:sz w:val="28"/>
          <w:szCs w:val="28"/>
        </w:rPr>
        <w:t xml:space="preserve">(+3,5 процента в текущих ценах). На фоне низкой базы 2022 года, обусловленной существенным падением объемов производства в связи </w:t>
      </w:r>
      <w:r w:rsidR="0060183C">
        <w:rPr>
          <w:sz w:val="28"/>
          <w:szCs w:val="28"/>
        </w:rPr>
        <w:t xml:space="preserve">с </w:t>
      </w:r>
      <w:r w:rsidRPr="004D1A06">
        <w:rPr>
          <w:sz w:val="28"/>
          <w:szCs w:val="28"/>
        </w:rPr>
        <w:t xml:space="preserve">«энергетическим кризисом» в четвертом квартале 2022 года, при поддержании стабильных поставок топливно-энергетических ресурсов в 2023 году позитивная динамика ожидается в основных </w:t>
      </w:r>
      <w:proofErr w:type="spellStart"/>
      <w:r w:rsidRPr="004D1A06">
        <w:rPr>
          <w:sz w:val="28"/>
          <w:szCs w:val="28"/>
        </w:rPr>
        <w:t>подотраслях</w:t>
      </w:r>
      <w:proofErr w:type="spellEnd"/>
      <w:r w:rsidRPr="004D1A06">
        <w:rPr>
          <w:sz w:val="28"/>
          <w:szCs w:val="28"/>
        </w:rPr>
        <w:t xml:space="preserve"> промышленности – электроэнергетике и черной металлургии.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В </w:t>
      </w:r>
      <w:proofErr w:type="spellStart"/>
      <w:r w:rsidRPr="004D1A06">
        <w:rPr>
          <w:sz w:val="28"/>
          <w:szCs w:val="28"/>
        </w:rPr>
        <w:t>подотраслях</w:t>
      </w:r>
      <w:proofErr w:type="spellEnd"/>
      <w:r w:rsidRPr="004D1A06">
        <w:rPr>
          <w:sz w:val="28"/>
          <w:szCs w:val="28"/>
        </w:rPr>
        <w:t xml:space="preserve">, ориентированных на внутренний рынок, ожидаются слабые стагнационные тенденции с преобладанием сохранения объемов производства на уровне 2022 года. Отсутствие предпосылок к восстановлению доступа к рынкам сбыта по восточному направлению обусловит сохранение </w:t>
      </w:r>
      <w:r w:rsidRPr="004D1A06">
        <w:rPr>
          <w:sz w:val="28"/>
          <w:szCs w:val="28"/>
        </w:rPr>
        <w:lastRenderedPageBreak/>
        <w:t xml:space="preserve">спада в </w:t>
      </w:r>
      <w:proofErr w:type="spellStart"/>
      <w:r w:rsidRPr="004D1A06">
        <w:rPr>
          <w:sz w:val="28"/>
          <w:szCs w:val="28"/>
        </w:rPr>
        <w:t>подотраслях</w:t>
      </w:r>
      <w:proofErr w:type="spellEnd"/>
      <w:r w:rsidRPr="004D1A06">
        <w:rPr>
          <w:sz w:val="28"/>
          <w:szCs w:val="28"/>
        </w:rPr>
        <w:t xml:space="preserve"> машиностроения и металлообработки, а также электротехнической промышленности. 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В сельском хозяйстве, вследствие более благоприятных климатических условий и при сохранении ключевых направлений государственной поддержки, ожидается наращивание физических объемов в сфере животноводства, а также в сфере растениеводства по большей части сельскохозяйственных культур. С учетом оценки текущих ценовых трендов стоимостной объем валовой продукции может превысить на 18,2 процента показатель 2022 года, составив 4 996,9 миллиона рублей. 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Несмотря на ожидаемое замедление ценового давления до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>8-10 процентов в годовом выражении удлиненная логистика импорта товаров и сохранение высоких банковских издержек скажутся на динамике розничного товарооборота: до конца 2023 года ожидается расширение показателя на 10,7 процент</w:t>
      </w:r>
      <w:r w:rsidR="0060183C">
        <w:rPr>
          <w:sz w:val="28"/>
          <w:szCs w:val="28"/>
        </w:rPr>
        <w:t>а,</w:t>
      </w:r>
      <w:r w:rsidRPr="004D1A06">
        <w:rPr>
          <w:sz w:val="28"/>
          <w:szCs w:val="28"/>
        </w:rPr>
        <w:t xml:space="preserve"> до 10 649,2 миллиона рублей в текущих ценах. 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Исходя из текущего уровня экономических намерений крупнейших хозяйствующих субъектов республики в 2023 году ожидается снижение уровня инвестиций в основной капитал на 6,3 процента</w:t>
      </w:r>
      <w:r w:rsidR="0060183C">
        <w:rPr>
          <w:sz w:val="28"/>
          <w:szCs w:val="28"/>
        </w:rPr>
        <w:t>,</w:t>
      </w:r>
      <w:r w:rsidRPr="004D1A06">
        <w:rPr>
          <w:sz w:val="28"/>
          <w:szCs w:val="28"/>
        </w:rPr>
        <w:t xml:space="preserve"> до 2 415,9 миллиона рублей.  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Экспертные оценки развития ситуации на мировых сырьевых рынках, прогнозы крупнейших хозяйствующих субъектов Приднестровской Молдавской Республики, а также текущая динамика внешнеторгового оборота республики обусловили формирование оценки стоимостных объемов экспорта товаров по итогам 2023 года в пределах 785,2 миллиона долларов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 xml:space="preserve">(+6,3 процента). Совокупный показатель импорта на фоне снижения цен на мировом энергетическом рынке сложится в пределах 2 480,4 миллиона долларов (-0,1 процента). Таким образом, внешнеторговой оборот по итогам 2023 года оценивается в размере 3 265,6 миллиона долларов, или </w:t>
      </w:r>
      <w:r w:rsidR="00F955AA">
        <w:rPr>
          <w:sz w:val="28"/>
          <w:szCs w:val="28"/>
        </w:rPr>
        <w:br/>
      </w:r>
      <w:r w:rsidRPr="004D1A06">
        <w:rPr>
          <w:sz w:val="28"/>
          <w:szCs w:val="28"/>
        </w:rPr>
        <w:t xml:space="preserve">+1,4 процента к прошлогоднему параметру. 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Ожидаемая среднемесячная начисленная заработная плата по республике вырастет на 6,5 процента</w:t>
      </w:r>
      <w:r w:rsidR="0060183C">
        <w:rPr>
          <w:sz w:val="28"/>
          <w:szCs w:val="28"/>
        </w:rPr>
        <w:t>,</w:t>
      </w:r>
      <w:r w:rsidRPr="004D1A06">
        <w:rPr>
          <w:sz w:val="28"/>
          <w:szCs w:val="28"/>
        </w:rPr>
        <w:t xml:space="preserve"> до 5 962,9 рубл</w:t>
      </w:r>
      <w:r w:rsidR="00800F02">
        <w:rPr>
          <w:sz w:val="28"/>
          <w:szCs w:val="28"/>
        </w:rPr>
        <w:t>я</w:t>
      </w:r>
      <w:bookmarkStart w:id="3" w:name="_GoBack"/>
      <w:bookmarkEnd w:id="3"/>
      <w:r w:rsidRPr="004D1A06">
        <w:rPr>
          <w:sz w:val="28"/>
          <w:szCs w:val="28"/>
        </w:rPr>
        <w:t xml:space="preserve">. </w:t>
      </w:r>
    </w:p>
    <w:p w:rsidR="00784AC4" w:rsidRPr="004D1A06" w:rsidRDefault="00784AC4" w:rsidP="00784AC4">
      <w:pPr>
        <w:widowControl w:val="0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Под воздействием </w:t>
      </w:r>
      <w:proofErr w:type="spellStart"/>
      <w:r w:rsidRPr="004D1A06">
        <w:rPr>
          <w:sz w:val="28"/>
          <w:szCs w:val="28"/>
        </w:rPr>
        <w:t>слабопозитивных</w:t>
      </w:r>
      <w:proofErr w:type="spellEnd"/>
      <w:r w:rsidRPr="004D1A06">
        <w:rPr>
          <w:sz w:val="28"/>
          <w:szCs w:val="28"/>
        </w:rPr>
        <w:t xml:space="preserve"> трендов, которые будут доминировать в секторе производства, положительной динамики в сельском хозяйстве темпы роста номинального валового внутреннего продукта по итогам года могут сформироваться на уровне 4,6 процента</w:t>
      </w:r>
      <w:r w:rsidR="0060183C">
        <w:rPr>
          <w:sz w:val="28"/>
          <w:szCs w:val="28"/>
        </w:rPr>
        <w:t>,</w:t>
      </w:r>
      <w:r w:rsidRPr="004D1A06">
        <w:rPr>
          <w:sz w:val="28"/>
          <w:szCs w:val="28"/>
        </w:rPr>
        <w:t xml:space="preserve"> до 19 079,0 миллион</w:t>
      </w:r>
      <w:r w:rsidR="0060183C">
        <w:rPr>
          <w:sz w:val="28"/>
          <w:szCs w:val="28"/>
        </w:rPr>
        <w:t>а</w:t>
      </w:r>
      <w:r w:rsidRPr="004D1A06">
        <w:rPr>
          <w:sz w:val="28"/>
          <w:szCs w:val="28"/>
        </w:rPr>
        <w:t xml:space="preserve"> рублей.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183C" w:rsidRDefault="00784AC4" w:rsidP="00784AC4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A06">
        <w:rPr>
          <w:rFonts w:ascii="Times New Roman" w:hAnsi="Times New Roman" w:cs="Times New Roman"/>
          <w:bCs/>
          <w:sz w:val="28"/>
          <w:szCs w:val="28"/>
        </w:rPr>
        <w:t xml:space="preserve">7. Прогноз социально-экономического развития республики </w:t>
      </w:r>
    </w:p>
    <w:p w:rsidR="00784AC4" w:rsidRPr="004D1A06" w:rsidRDefault="00784AC4" w:rsidP="00784AC4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1A06">
        <w:rPr>
          <w:rFonts w:ascii="Times New Roman" w:hAnsi="Times New Roman" w:cs="Times New Roman"/>
          <w:bCs/>
          <w:sz w:val="28"/>
          <w:szCs w:val="28"/>
        </w:rPr>
        <w:t>в 2024 году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</w:rPr>
        <w:t xml:space="preserve">При реализации базового сценария </w:t>
      </w:r>
      <w:r w:rsidRPr="004D1A06">
        <w:rPr>
          <w:sz w:val="28"/>
          <w:szCs w:val="28"/>
          <w:lang w:eastAsia="en-US"/>
        </w:rPr>
        <w:t xml:space="preserve">социально-экономического развития Приднестровской Молдавской Республики на 2024 год в условиях заданных предпосылок, с учетом прогноза объемов производства крупнейших представителей индустриального сектора республики, в краткосрочной перспективе прогнозируется слабоположительная динамика промышленного выпуска (+0,6 процента в текущих ценах к ожидаемому уровню 2023 года). </w:t>
      </w:r>
      <w:r w:rsidRPr="004D1A06">
        <w:rPr>
          <w:sz w:val="28"/>
          <w:szCs w:val="28"/>
          <w:lang w:eastAsia="en-US"/>
        </w:rPr>
        <w:lastRenderedPageBreak/>
        <w:t>Ключевыми факторами, оказывающими влияние на формирование совокупного показателя, будут являться сохранение поставок энергоресурсов на рынок Республики Молдова, а также отгрузка металлов на экспорт в основные страны-партнеры.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С учетом прогнозируемой динамики цен на сельскохозяйственную продукцию, а также оценки урожая в 2024 году объем валовой продукции вырастет на 2,3 процента к ожидаемому показателю 2023 года. 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  <w:lang w:eastAsia="en-US"/>
        </w:rPr>
        <w:t xml:space="preserve">При этом государство для достижения поставленных параметров </w:t>
      </w:r>
      <w:r w:rsidRPr="004D1A06">
        <w:rPr>
          <w:sz w:val="28"/>
          <w:szCs w:val="28"/>
        </w:rPr>
        <w:t>будет направлять усилия на реализацию следующих программных мероприятий: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а) создание благоприятных условий для развития аграрного бизнеса в целях насыщения внутреннего рынка продукцией отечественного производства и увеличения экспортных поставок;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б) развитие орошаемого земледелия как основы роста производства сельскохозяйственной продукции;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в) реализация мероприятий, направленных на рациональное и эффективное использование земельных ресурсов, сохранение и повышение плодородия почв; 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г) содействие развитию агропромышленного комплекса в сфере инвестиционной политики с целью увеличения занятости населения и, как следствие, росту социально-экономического благосостояния села;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>д) прогноз и мониторинг работ по защите растений, реализация мер по проведению карантинных мероприятий;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е) осуществление контроля соблюдения требований ветеринарного законодательства, проведение противоэпизоотических мероприятий.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>Сохранение высоких геополитических рисков обуславливает экстраполяцию понижательного тренда капитальных вложений 2023 года и на 2024 год: прогнозируемый объем инвестиций в основной капитал сократится на 5,9 процента к оценке текущего года.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 xml:space="preserve">С учетом динамики развития ситуации в основных отраслях реального сектора экономики, прогнозных оценок мировых экспертов о ситуации на мировых сырьевых рынках в 2024 году ожидается незначительное снижение показателей внешней торговли: совокупный внешнеторговый оборот может сократится на 8,4 процента к оценке 2023 года, в том числе экспорт – в пределах 0,7 процента. По совокупному импорту прогнозируется снижение объемов до 10,9 процента. 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>На потребительском рынке</w:t>
      </w:r>
      <w:r w:rsidR="00C74629">
        <w:rPr>
          <w:sz w:val="28"/>
          <w:szCs w:val="28"/>
          <w:lang w:eastAsia="en-US"/>
        </w:rPr>
        <w:t>,</w:t>
      </w:r>
      <w:r w:rsidRPr="004D1A06">
        <w:rPr>
          <w:sz w:val="28"/>
          <w:szCs w:val="28"/>
          <w:lang w:eastAsia="en-US"/>
        </w:rPr>
        <w:t xml:space="preserve"> с учетом прогнозируемых тенденций замедления общемирового уровня инфляции, в Приднестровской Молдавской Республике повышение уровня цен в 2024 году прогнозируется в диапазоне </w:t>
      </w:r>
      <w:r w:rsidR="00F955AA">
        <w:rPr>
          <w:sz w:val="28"/>
          <w:szCs w:val="28"/>
          <w:lang w:eastAsia="en-US"/>
        </w:rPr>
        <w:br/>
      </w:r>
      <w:r w:rsidRPr="004D1A06">
        <w:rPr>
          <w:sz w:val="28"/>
          <w:szCs w:val="28"/>
          <w:lang w:eastAsia="en-US"/>
        </w:rPr>
        <w:t xml:space="preserve">5 процентов плюс-минус 1 процентный пункт в годовом выражении. </w:t>
      </w:r>
      <w:r w:rsidR="008D20F4">
        <w:rPr>
          <w:sz w:val="28"/>
          <w:szCs w:val="28"/>
          <w:lang w:eastAsia="en-US"/>
        </w:rPr>
        <w:br/>
      </w:r>
      <w:r w:rsidRPr="004D1A06">
        <w:rPr>
          <w:sz w:val="28"/>
          <w:szCs w:val="28"/>
          <w:lang w:eastAsia="en-US"/>
        </w:rPr>
        <w:t>В результате розничный товарооборот может возрасти в пределах 5,1 процента в номинальном выражении.</w:t>
      </w:r>
    </w:p>
    <w:p w:rsidR="00784AC4" w:rsidRPr="004D1A06" w:rsidRDefault="00784AC4" w:rsidP="00784AC4">
      <w:pPr>
        <w:ind w:firstLine="709"/>
        <w:jc w:val="both"/>
        <w:rPr>
          <w:sz w:val="28"/>
          <w:szCs w:val="28"/>
        </w:rPr>
      </w:pPr>
      <w:r w:rsidRPr="004D1A06">
        <w:rPr>
          <w:sz w:val="28"/>
          <w:szCs w:val="28"/>
        </w:rPr>
        <w:t xml:space="preserve">Исходя из прогнозов основных представителей промышленного сектора экономики, торговли, отраслей транспорта, связи и строительства среднемесячная номинальная начисленная заработная плата одного работника по экономике может вырасти в пределах 5,5 процента к оценке 2023 года. 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lastRenderedPageBreak/>
        <w:t>В целях недопущения оттока трудовых ресурсов государством будут направлены силы на проведение активной политики в области занятости населения по следующим направлениям:</w:t>
      </w:r>
    </w:p>
    <w:p w:rsidR="00784AC4" w:rsidRPr="004D1A06" w:rsidRDefault="00784AC4" w:rsidP="00784AC4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 профессиональное обучение безработных граждан, которое позволит им в течение короткого времени приобрести профессиональные знания или повысить квалификацию, что обеспечивает повышение их конкурентоспособности на рынке труда и расширяет возможность трудоустройства;</w:t>
      </w:r>
    </w:p>
    <w:p w:rsidR="00784AC4" w:rsidRPr="004D1A06" w:rsidRDefault="00784AC4" w:rsidP="00784AC4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продолжение реализации государственных программ «Молодежная практика», «Стажер», «Шанс»;</w:t>
      </w:r>
    </w:p>
    <w:p w:rsidR="00784AC4" w:rsidRPr="004D1A06" w:rsidRDefault="00784AC4" w:rsidP="00784AC4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организация общественных работ с целью оказания материальной поддержки неконкурентоспособным на рынке труда гражданам, приобретения трудовых навыков молодежи, не имеющей трудового стажа; </w:t>
      </w:r>
    </w:p>
    <w:p w:rsidR="00784AC4" w:rsidRPr="004D1A06" w:rsidRDefault="00784AC4" w:rsidP="00784AC4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организация занятости несовершеннолетней молодежи в целях их адаптации к трудовой деятельности и как эффективная мера по профилактике подростковой преступности.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Основными задачами государственной политики в области регулирования рынка труда в 2024 году будут являться: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а) обеспечение государственных гарантий и исполнения законодательства в сфере занятости населения;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б) повышение качества предоставляемых государственных услуг в области содействия занятости населения;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в) содействие обеспечению работодателей рабочей силой в необходимом количестве и требуемой квалификации;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г) развитие системы профессиональной ориентации и психологической поддержки населения, в том числе профессиональной ориентации школьников, повышение их мотивации к трудовой деятельности по профессиям, специальностям, востребованным на рынке труда;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д) обеспечение приоритета активной политики занятости на рынке труда: содействие трудоустройству незанятых граждан, профессиональная подготовка, переподготовка и повышение квалификации безработных граждан, организация общественных работ; 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>е) повышение информированности населения республики и работодателей о состоянии рынка труда посредством использования средств массовой информации, глобальной сети Интернет, а также путем проведения ярмарок вакансий и учебных мест;</w:t>
      </w:r>
    </w:p>
    <w:p w:rsidR="00784AC4" w:rsidRPr="004D1A06" w:rsidRDefault="00784AC4" w:rsidP="00784AC4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06">
        <w:rPr>
          <w:rFonts w:ascii="Times New Roman" w:hAnsi="Times New Roman" w:cs="Times New Roman"/>
          <w:sz w:val="28"/>
          <w:szCs w:val="28"/>
        </w:rPr>
        <w:t xml:space="preserve">ж) усиление </w:t>
      </w:r>
      <w:proofErr w:type="spellStart"/>
      <w:r w:rsidRPr="004D1A0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D1A06">
        <w:rPr>
          <w:rFonts w:ascii="Times New Roman" w:hAnsi="Times New Roman" w:cs="Times New Roman"/>
          <w:sz w:val="28"/>
          <w:szCs w:val="28"/>
        </w:rPr>
        <w:t xml:space="preserve"> работы по рабочим профессиям среди учащихся.</w:t>
      </w:r>
    </w:p>
    <w:p w:rsidR="00784AC4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D1A06">
        <w:rPr>
          <w:sz w:val="28"/>
          <w:szCs w:val="28"/>
          <w:lang w:eastAsia="en-US"/>
        </w:rPr>
        <w:t xml:space="preserve">Исходя из обозначенных направлений, которые при заданных сценарных условиях могут характеризовать развитие реального сектора экономики, с учетом прогнозируемых конъюнктурных тенденций в мировой экономике, в 2024 году показатель валового внутреннего продукта в номинальном выражении будет характеризоваться слабоположительной динамикой номинального роста в пределах 1,8 процента. </w:t>
      </w:r>
    </w:p>
    <w:p w:rsidR="00D12DF3" w:rsidRPr="00CB6909" w:rsidRDefault="00D12DF3" w:rsidP="00D12DF3">
      <w:pPr>
        <w:shd w:val="clear" w:color="auto" w:fill="FFFFFF"/>
        <w:tabs>
          <w:tab w:val="left" w:pos="5496"/>
          <w:tab w:val="left" w:pos="6412"/>
          <w:tab w:val="left" w:pos="7328"/>
          <w:tab w:val="left" w:pos="8244"/>
          <w:tab w:val="left" w:pos="8848"/>
        </w:tabs>
        <w:ind w:firstLine="709"/>
        <w:jc w:val="both"/>
        <w:rPr>
          <w:sz w:val="28"/>
          <w:szCs w:val="28"/>
        </w:rPr>
      </w:pPr>
      <w:r w:rsidRPr="00CB6909">
        <w:rPr>
          <w:sz w:val="28"/>
          <w:szCs w:val="28"/>
        </w:rPr>
        <w:lastRenderedPageBreak/>
        <w:t>Учитывая прогнозируемый рост объема валового внутреннего продукта, в 2024 году ожидается увеличение:</w:t>
      </w:r>
    </w:p>
    <w:p w:rsidR="00D12DF3" w:rsidRPr="00CB6909" w:rsidRDefault="00D12DF3" w:rsidP="00D12DF3">
      <w:pPr>
        <w:shd w:val="clear" w:color="auto" w:fill="FFFFFF"/>
        <w:tabs>
          <w:tab w:val="left" w:pos="5496"/>
          <w:tab w:val="left" w:pos="6412"/>
          <w:tab w:val="left" w:pos="7328"/>
          <w:tab w:val="left" w:pos="8244"/>
          <w:tab w:val="left" w:pos="8848"/>
        </w:tabs>
        <w:ind w:firstLine="709"/>
        <w:jc w:val="both"/>
        <w:rPr>
          <w:sz w:val="28"/>
          <w:szCs w:val="28"/>
        </w:rPr>
      </w:pPr>
      <w:r w:rsidRPr="00CB6909">
        <w:rPr>
          <w:sz w:val="28"/>
          <w:szCs w:val="28"/>
        </w:rPr>
        <w:t>а) предельного размера доходов государственного бюджета до уровня ориентировочно 4 260,9 миллиона рублей Приднестровской Молдавской Республики;</w:t>
      </w:r>
    </w:p>
    <w:p w:rsidR="00D12DF3" w:rsidRPr="00CB6909" w:rsidRDefault="00D12DF3" w:rsidP="00D12DF3">
      <w:pPr>
        <w:shd w:val="clear" w:color="auto" w:fill="FFFFFF"/>
        <w:tabs>
          <w:tab w:val="left" w:pos="5496"/>
          <w:tab w:val="left" w:pos="6412"/>
          <w:tab w:val="left" w:pos="7328"/>
          <w:tab w:val="left" w:pos="8244"/>
          <w:tab w:val="left" w:pos="8848"/>
        </w:tabs>
        <w:ind w:firstLine="709"/>
        <w:jc w:val="both"/>
        <w:rPr>
          <w:sz w:val="28"/>
          <w:szCs w:val="28"/>
        </w:rPr>
      </w:pPr>
      <w:r w:rsidRPr="00CB6909">
        <w:rPr>
          <w:sz w:val="28"/>
          <w:szCs w:val="28"/>
        </w:rPr>
        <w:t>б) предельного размера расходов государственного бюджета до уровня ориентировочно 6 421,7 миллиона рублей Приднестровской Молдавской Республики;</w:t>
      </w:r>
    </w:p>
    <w:p w:rsidR="00D12DF3" w:rsidRPr="00CB6909" w:rsidRDefault="00D12DF3" w:rsidP="00D12DF3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B6909">
        <w:rPr>
          <w:sz w:val="28"/>
          <w:szCs w:val="28"/>
        </w:rPr>
        <w:t>в) предельного уровня дефицита государственного бюджета до показателя ориентировочно 2 160,8 миллиона рублей Приднестровской Молдавской Республики.</w:t>
      </w:r>
    </w:p>
    <w:p w:rsidR="00784AC4" w:rsidRPr="004D1A06" w:rsidRDefault="00784AC4" w:rsidP="0078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firstLine="709"/>
        <w:jc w:val="both"/>
        <w:rPr>
          <w:sz w:val="28"/>
          <w:szCs w:val="28"/>
        </w:rPr>
      </w:pPr>
      <w:r w:rsidRPr="00CB6909">
        <w:rPr>
          <w:sz w:val="28"/>
          <w:szCs w:val="28"/>
          <w:lang w:eastAsia="en-US"/>
        </w:rPr>
        <w:t xml:space="preserve">В случае негативного развития ситуации на внешних и внутреннем рынках, сопровождающегося </w:t>
      </w:r>
      <w:r w:rsidRPr="00CB6909">
        <w:rPr>
          <w:sz w:val="28"/>
          <w:szCs w:val="28"/>
        </w:rPr>
        <w:t xml:space="preserve">существенным </w:t>
      </w:r>
      <w:r w:rsidRPr="004D1A06">
        <w:rPr>
          <w:sz w:val="28"/>
          <w:szCs w:val="28"/>
        </w:rPr>
        <w:t>изменением базовых сценарных условий, основные макроэкономические показатели будут подвержены соответствующим корректировкам.</w:t>
      </w:r>
    </w:p>
    <w:p w:rsidR="00784AC4" w:rsidRPr="004D1A06" w:rsidRDefault="00784AC4" w:rsidP="00784AC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784AC4" w:rsidRPr="004D1A06" w:rsidRDefault="00784AC4" w:rsidP="00784AC4">
      <w:pPr>
        <w:spacing w:after="160"/>
      </w:pPr>
    </w:p>
    <w:p w:rsidR="00784AC4" w:rsidRPr="004D1A06" w:rsidRDefault="00784AC4" w:rsidP="00784AC4">
      <w:pPr>
        <w:sectPr w:rsidR="00784AC4" w:rsidRPr="004D1A06" w:rsidSect="002A1960">
          <w:headerReference w:type="default" r:id="rId7"/>
          <w:pgSz w:w="11906" w:h="16838"/>
          <w:pgMar w:top="1134" w:right="851" w:bottom="1134" w:left="1701" w:header="709" w:footer="709" w:gutter="0"/>
          <w:pgNumType w:start="2"/>
          <w:cols w:space="720"/>
          <w:docGrid w:linePitch="326"/>
        </w:sectPr>
      </w:pPr>
    </w:p>
    <w:p w:rsidR="00784AC4" w:rsidRPr="004D1A06" w:rsidRDefault="00784AC4" w:rsidP="0078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left="9356"/>
        <w:rPr>
          <w:sz w:val="28"/>
          <w:szCs w:val="28"/>
        </w:rPr>
      </w:pPr>
      <w:r w:rsidRPr="004D1A06">
        <w:rPr>
          <w:sz w:val="28"/>
          <w:szCs w:val="28"/>
        </w:rPr>
        <w:lastRenderedPageBreak/>
        <w:t xml:space="preserve">Приложение </w:t>
      </w:r>
    </w:p>
    <w:p w:rsidR="00784AC4" w:rsidRPr="004D1A06" w:rsidRDefault="00784AC4" w:rsidP="0078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left="9356" w:right="111"/>
        <w:rPr>
          <w:rFonts w:eastAsia="Arial Unicode MS"/>
          <w:sz w:val="28"/>
          <w:szCs w:val="28"/>
        </w:rPr>
      </w:pPr>
      <w:r w:rsidRPr="004D1A06">
        <w:rPr>
          <w:rFonts w:eastAsia="MS Mincho"/>
          <w:sz w:val="28"/>
          <w:szCs w:val="28"/>
        </w:rPr>
        <w:t xml:space="preserve">к </w:t>
      </w:r>
      <w:r w:rsidRPr="004D1A06">
        <w:rPr>
          <w:rFonts w:eastAsia="Arial Unicode MS"/>
          <w:sz w:val="28"/>
          <w:szCs w:val="28"/>
        </w:rPr>
        <w:t xml:space="preserve">Прогнозу социально-экономического развития Приднестровской Молдавской Республики на 2024 год </w:t>
      </w:r>
    </w:p>
    <w:p w:rsidR="00784AC4" w:rsidRPr="004D1A06" w:rsidRDefault="00784AC4" w:rsidP="00784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ind w:left="9356" w:right="-314"/>
        <w:rPr>
          <w:sz w:val="28"/>
          <w:szCs w:val="28"/>
        </w:rPr>
      </w:pPr>
    </w:p>
    <w:p w:rsidR="00784AC4" w:rsidRDefault="00784AC4" w:rsidP="0078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jc w:val="center"/>
        <w:rPr>
          <w:sz w:val="28"/>
          <w:szCs w:val="28"/>
        </w:rPr>
      </w:pPr>
      <w:r w:rsidRPr="004D1A06">
        <w:rPr>
          <w:sz w:val="28"/>
          <w:szCs w:val="28"/>
        </w:rPr>
        <w:t>Основные макроэкономические показатели Приднестровской Молдавской Республики на 2024 год</w:t>
      </w:r>
    </w:p>
    <w:p w:rsidR="00E94F60" w:rsidRPr="004D1A06" w:rsidRDefault="00E94F60" w:rsidP="0078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jc w:val="center"/>
        <w:rPr>
          <w:sz w:val="28"/>
          <w:szCs w:val="28"/>
        </w:rPr>
      </w:pPr>
    </w:p>
    <w:tbl>
      <w:tblPr>
        <w:tblW w:w="14937" w:type="dxa"/>
        <w:tblLook w:val="04A0" w:firstRow="1" w:lastRow="0" w:firstColumn="1" w:lastColumn="0" w:noHBand="0" w:noVBand="1"/>
      </w:tblPr>
      <w:tblGrid>
        <w:gridCol w:w="776"/>
        <w:gridCol w:w="5310"/>
        <w:gridCol w:w="1535"/>
        <w:gridCol w:w="1362"/>
        <w:gridCol w:w="1276"/>
        <w:gridCol w:w="1418"/>
        <w:gridCol w:w="1417"/>
        <w:gridCol w:w="1843"/>
      </w:tblGrid>
      <w:tr w:rsidR="00E94F60" w:rsidRPr="003A3F52" w:rsidTr="00D879D4">
        <w:trPr>
          <w:trHeight w:val="672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09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Факт </w:t>
            </w:r>
          </w:p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E94F60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Факт 2021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09" w:rsidRDefault="00E94F60" w:rsidP="00E94F60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Факт </w:t>
            </w:r>
          </w:p>
          <w:p w:rsidR="00E94F60" w:rsidRPr="003A3F52" w:rsidRDefault="00E94F60" w:rsidP="00E94F60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2022 год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Оценка 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09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Прогноз </w:t>
            </w:r>
          </w:p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E94F60" w:rsidRPr="003A3F52" w:rsidTr="00D879D4">
        <w:trPr>
          <w:trHeight w:val="55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Номинальный объем валового внутреннего продукта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14 403,2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19 229,1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18 248,2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19 079,0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19 420,3</w:t>
            </w:r>
          </w:p>
        </w:tc>
      </w:tr>
      <w:tr w:rsidR="00E94F60" w:rsidRPr="003A3F52" w:rsidTr="00D879D4">
        <w:trPr>
          <w:trHeight w:val="61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Объем промышленного производства (в действующих ценах)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 xml:space="preserve">1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13 184,8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17 759,2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14 869,4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15 385,0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15 472,3</w:t>
            </w:r>
          </w:p>
        </w:tc>
      </w:tr>
      <w:tr w:rsidR="00E94F60" w:rsidRPr="003A3F52" w:rsidTr="00D879D4">
        <w:trPr>
          <w:trHeight w:val="61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Объем сельскохозяйственного производства 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2 974,6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4 630,9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4 996,9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5 111,2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Объем инвестиций в основной капитал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2 263,8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2 578,2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2 415,9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2 272,8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Объем розничного товарооборота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7 614,1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9 077,4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9 617,5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10 649,2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11 193,2</w:t>
            </w:r>
          </w:p>
        </w:tc>
      </w:tr>
      <w:tr w:rsidR="00E94F60" w:rsidRPr="003A3F52" w:rsidTr="00D879D4">
        <w:trPr>
          <w:trHeight w:val="52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Объем внешнеторгового оборота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миллионов долларов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1 685,8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2 584,9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3 265,6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2 991,2</w:t>
            </w:r>
          </w:p>
        </w:tc>
      </w:tr>
      <w:tr w:rsidR="00E94F60" w:rsidRPr="003A3F52" w:rsidTr="00D879D4">
        <w:trPr>
          <w:trHeight w:val="4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Объем экспорта товаров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миллионов долларов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938,9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785,2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780,0</w:t>
            </w:r>
          </w:p>
        </w:tc>
      </w:tr>
      <w:tr w:rsidR="00E94F60" w:rsidRPr="003A3F52" w:rsidTr="00D879D4">
        <w:trPr>
          <w:trHeight w:val="4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6.2.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Объем импорта товаров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миллионов долларов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1 646,0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2 482,6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2 480,4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2 211,2</w:t>
            </w:r>
          </w:p>
        </w:tc>
      </w:tr>
      <w:tr w:rsidR="00E94F60" w:rsidRPr="003A3F52" w:rsidTr="00D879D4">
        <w:trPr>
          <w:trHeight w:val="300"/>
        </w:trPr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Инфляция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13,2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8-10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</w:t>
            </w:r>
          </w:p>
        </w:tc>
      </w:tr>
      <w:tr w:rsidR="00E94F60" w:rsidRPr="003A3F52" w:rsidTr="00D879D4">
        <w:trPr>
          <w:trHeight w:val="792"/>
        </w:trPr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(±1 процентный пункт)</w:t>
            </w:r>
          </w:p>
        </w:tc>
      </w:tr>
      <w:tr w:rsidR="00E94F60" w:rsidRPr="003A3F52" w:rsidTr="00D879D4">
        <w:trPr>
          <w:trHeight w:val="61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Среднесписочная численность работающих 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тысяч человек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104,8</w:t>
            </w:r>
          </w:p>
        </w:tc>
      </w:tr>
      <w:tr w:rsidR="00E94F60" w:rsidRPr="003A3F52" w:rsidTr="00D879D4">
        <w:trPr>
          <w:trHeight w:val="8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Номинальная среднемесячная заработная плата одного работника в целом по экономике</w:t>
            </w:r>
            <w:r w:rsidRPr="003A3F52">
              <w:rPr>
                <w:color w:val="000000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рублей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4 858,00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5 345,00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5 599,00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5 962,90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6 290,90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Доходы государственного бюджета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2 914,20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3 386,90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3 568,30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4 058,00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4 260,90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10.1.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 в том числе текущие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2 597,60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2 866,40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3 331,80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3 625,30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10.2.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 xml:space="preserve"> доходы от продажи основного капитала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38,9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25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Расходы государственного бюджета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4 765,80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5 300,40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6 115,90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6 421,70</w:t>
            </w:r>
          </w:p>
        </w:tc>
      </w:tr>
      <w:tr w:rsidR="00E94F60" w:rsidRPr="003A3F52" w:rsidTr="00D879D4">
        <w:trPr>
          <w:trHeight w:val="33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Дефицит государственного бюджета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7B67C5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млн</w:t>
            </w:r>
            <w:r w:rsidR="00150582" w:rsidRPr="00F955AA">
              <w:rPr>
                <w:color w:val="000000"/>
                <w:sz w:val="26"/>
                <w:szCs w:val="26"/>
              </w:rPr>
              <w:t xml:space="preserve"> </w:t>
            </w:r>
            <w:r w:rsidRPr="003A3F52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1 851,60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1 913,50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2 016,70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2 057,90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2 160,80</w:t>
            </w:r>
          </w:p>
        </w:tc>
      </w:tr>
      <w:tr w:rsidR="00E94F60" w:rsidRPr="003A3F52" w:rsidTr="00D879D4">
        <w:trPr>
          <w:trHeight w:val="9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Налоговая нагрузка государственного бюджета на рубль объема промышленного и сельскохозяйственного производства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center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F60" w:rsidRPr="003A3F52" w:rsidRDefault="00E94F60" w:rsidP="00F25BE8">
            <w:pPr>
              <w:jc w:val="right"/>
              <w:rPr>
                <w:color w:val="000000"/>
                <w:sz w:val="26"/>
                <w:szCs w:val="26"/>
              </w:rPr>
            </w:pPr>
            <w:r w:rsidRPr="003A3F52">
              <w:rPr>
                <w:color w:val="000000"/>
                <w:sz w:val="26"/>
                <w:szCs w:val="26"/>
              </w:rPr>
              <w:t>18,1</w:t>
            </w:r>
          </w:p>
        </w:tc>
      </w:tr>
    </w:tbl>
    <w:p w:rsidR="00784AC4" w:rsidRPr="0091250B" w:rsidRDefault="00784AC4" w:rsidP="0029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rPr>
          <w:sz w:val="28"/>
          <w:szCs w:val="28"/>
        </w:rPr>
      </w:pPr>
    </w:p>
    <w:p w:rsidR="00784AC4" w:rsidRPr="0091250B" w:rsidRDefault="0091250B" w:rsidP="00296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rPr>
          <w:sz w:val="28"/>
          <w:szCs w:val="28"/>
        </w:rPr>
      </w:pPr>
      <w:r w:rsidRPr="003A3F52">
        <w:rPr>
          <w:color w:val="000000"/>
          <w:sz w:val="28"/>
          <w:szCs w:val="28"/>
        </w:rPr>
        <w:t>Примечание: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37"/>
      </w:tblGrid>
      <w:tr w:rsidR="00784AC4" w:rsidRPr="0091250B" w:rsidTr="00F25BE8">
        <w:trPr>
          <w:trHeight w:val="225"/>
        </w:trPr>
        <w:tc>
          <w:tcPr>
            <w:tcW w:w="5000" w:type="pct"/>
            <w:noWrap/>
            <w:vAlign w:val="center"/>
            <w:hideMark/>
          </w:tcPr>
          <w:p w:rsidR="00784AC4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1</w:t>
            </w:r>
            <w:r w:rsidRPr="003A3F52">
              <w:rPr>
                <w:sz w:val="28"/>
                <w:szCs w:val="28"/>
              </w:rPr>
              <w:t xml:space="preserve"> – по полному кругу организаций в соответствии с Классификатором отраслей народного хозяйства, уточнен Государственной службой статистики Министерства экономического развития Приднестровской Молдавской Республики</w:t>
            </w:r>
          </w:p>
          <w:p w:rsidR="0091250B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2</w:t>
            </w:r>
            <w:r w:rsidRPr="003A3F52">
              <w:rPr>
                <w:sz w:val="28"/>
                <w:szCs w:val="28"/>
              </w:rPr>
              <w:t xml:space="preserve"> – во всех категориях хозяйств, уточнен Государственной службой статистики Министерства экономического развития Приднестровской Молдавской Республики</w:t>
            </w:r>
          </w:p>
          <w:p w:rsidR="0091250B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3</w:t>
            </w:r>
            <w:r w:rsidRPr="003A3F52">
              <w:rPr>
                <w:sz w:val="28"/>
                <w:szCs w:val="28"/>
              </w:rPr>
              <w:t xml:space="preserve"> – с учетом объемов субъектов малого предпринимательства и индивидуальных застройщиков</w:t>
            </w:r>
          </w:p>
          <w:p w:rsidR="0091250B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4</w:t>
            </w:r>
            <w:r w:rsidRPr="003A3F52">
              <w:rPr>
                <w:sz w:val="28"/>
                <w:szCs w:val="28"/>
              </w:rPr>
              <w:t xml:space="preserve"> – с учетом объемов субъектов малого предпринимательства и физических лиц</w:t>
            </w:r>
          </w:p>
          <w:p w:rsidR="0091250B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5</w:t>
            </w:r>
            <w:r w:rsidRPr="003A3F52">
              <w:rPr>
                <w:sz w:val="28"/>
                <w:szCs w:val="28"/>
              </w:rPr>
              <w:t xml:space="preserve"> – данные Государственного таможенного комитета Приднестровской Молдавской Республики по итогам соответствующего год;</w:t>
            </w:r>
          </w:p>
          <w:p w:rsidR="0091250B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6</w:t>
            </w:r>
            <w:r w:rsidRPr="003A3F52">
              <w:rPr>
                <w:sz w:val="28"/>
                <w:szCs w:val="28"/>
              </w:rPr>
              <w:t xml:space="preserve"> – к декабрю предыдущего года</w:t>
            </w:r>
          </w:p>
          <w:p w:rsidR="0091250B" w:rsidRPr="0091250B" w:rsidRDefault="0091250B" w:rsidP="002966DD">
            <w:pPr>
              <w:ind w:left="-113"/>
              <w:jc w:val="both"/>
              <w:rPr>
                <w:sz w:val="28"/>
                <w:szCs w:val="28"/>
              </w:rPr>
            </w:pPr>
            <w:r w:rsidRPr="003A3F52">
              <w:rPr>
                <w:sz w:val="28"/>
                <w:szCs w:val="28"/>
                <w:vertAlign w:val="superscript"/>
              </w:rPr>
              <w:t>7</w:t>
            </w:r>
            <w:r w:rsidRPr="003A3F52">
              <w:rPr>
                <w:sz w:val="28"/>
                <w:szCs w:val="28"/>
              </w:rPr>
              <w:t xml:space="preserve"> – с учетом субъектов малого предпринимательства и некоммерческих организаций и без учета силовых структур и таможенных органов республики</w:t>
            </w:r>
          </w:p>
          <w:p w:rsidR="0091250B" w:rsidRPr="0091250B" w:rsidRDefault="0091250B" w:rsidP="007B67C5">
            <w:pPr>
              <w:ind w:left="-113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A3F52">
              <w:rPr>
                <w:sz w:val="28"/>
                <w:szCs w:val="28"/>
                <w:vertAlign w:val="superscript"/>
              </w:rPr>
              <w:t>8</w:t>
            </w:r>
            <w:r w:rsidRPr="003A3F52">
              <w:rPr>
                <w:sz w:val="28"/>
                <w:szCs w:val="28"/>
              </w:rPr>
              <w:t xml:space="preserve"> – начисленная заработная плата, с учетом субъектов малого предпринимательства и некоммерческих организаций и без учета силовых структур и таможенных органов республики, уточнена Государственной службой статистики Министерства экономического развития Приднестровской Молдавской Республики</w:t>
            </w:r>
          </w:p>
        </w:tc>
      </w:tr>
    </w:tbl>
    <w:p w:rsidR="00784AC4" w:rsidRPr="0091250B" w:rsidRDefault="00784AC4" w:rsidP="002966DD">
      <w:pPr>
        <w:jc w:val="center"/>
        <w:rPr>
          <w:i/>
          <w:sz w:val="28"/>
          <w:szCs w:val="28"/>
        </w:rPr>
      </w:pPr>
    </w:p>
    <w:sectPr w:rsidR="00784AC4" w:rsidRPr="0091250B" w:rsidSect="0091250B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47" w:rsidRDefault="00546C47" w:rsidP="00784AC4">
      <w:r>
        <w:separator/>
      </w:r>
    </w:p>
  </w:endnote>
  <w:endnote w:type="continuationSeparator" w:id="0">
    <w:p w:rsidR="00546C47" w:rsidRDefault="00546C47" w:rsidP="0078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47" w:rsidRDefault="00546C47" w:rsidP="00784AC4">
      <w:r>
        <w:separator/>
      </w:r>
    </w:p>
  </w:footnote>
  <w:footnote w:type="continuationSeparator" w:id="0">
    <w:p w:rsidR="00546C47" w:rsidRDefault="00546C47" w:rsidP="00784AC4">
      <w:r>
        <w:continuationSeparator/>
      </w:r>
    </w:p>
  </w:footnote>
  <w:footnote w:id="1">
    <w:p w:rsidR="00784AC4" w:rsidRPr="00F663C0" w:rsidRDefault="00784AC4" w:rsidP="00784AC4">
      <w:pPr>
        <w:pStyle w:val="a4"/>
        <w:ind w:left="0"/>
        <w:rPr>
          <w:rFonts w:eastAsia="Calibri"/>
          <w:sz w:val="20"/>
          <w:szCs w:val="20"/>
        </w:rPr>
      </w:pPr>
      <w:r w:rsidRPr="00F663C0">
        <w:rPr>
          <w:rStyle w:val="a5"/>
          <w:rFonts w:eastAsia="Calibri"/>
          <w:sz w:val="20"/>
          <w:szCs w:val="20"/>
        </w:rPr>
        <w:footnoteRef/>
      </w:r>
      <w:r w:rsidRPr="00F663C0">
        <w:rPr>
          <w:rFonts w:eastAsia="Calibri"/>
          <w:sz w:val="20"/>
          <w:szCs w:val="20"/>
        </w:rPr>
        <w:t xml:space="preserve"> Международный валютный фонд, обзор, апрель 2023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C4" w:rsidRDefault="00784AC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0F02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2E9"/>
    <w:multiLevelType w:val="hybridMultilevel"/>
    <w:tmpl w:val="38E61CB6"/>
    <w:lvl w:ilvl="0" w:tplc="A84E65E2">
      <w:start w:val="1"/>
      <w:numFmt w:val="russianLower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0419000F">
      <w:start w:val="1"/>
      <w:numFmt w:val="decimal"/>
      <w:lvlText w:val="%7."/>
      <w:lvlJc w:val="left"/>
      <w:pPr>
        <w:ind w:left="5869" w:hanging="360"/>
      </w:p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4"/>
    <w:rsid w:val="00150582"/>
    <w:rsid w:val="001F5079"/>
    <w:rsid w:val="002966A9"/>
    <w:rsid w:val="002966DD"/>
    <w:rsid w:val="002A1960"/>
    <w:rsid w:val="004B35EE"/>
    <w:rsid w:val="004D1A06"/>
    <w:rsid w:val="00546C47"/>
    <w:rsid w:val="00577527"/>
    <w:rsid w:val="005A6868"/>
    <w:rsid w:val="005E3C14"/>
    <w:rsid w:val="0060183C"/>
    <w:rsid w:val="00611914"/>
    <w:rsid w:val="00784AC4"/>
    <w:rsid w:val="007B67C5"/>
    <w:rsid w:val="00800F02"/>
    <w:rsid w:val="00802EF6"/>
    <w:rsid w:val="008D1B37"/>
    <w:rsid w:val="008D20F4"/>
    <w:rsid w:val="00906E27"/>
    <w:rsid w:val="0091250B"/>
    <w:rsid w:val="00934D11"/>
    <w:rsid w:val="009B18F2"/>
    <w:rsid w:val="00A543BE"/>
    <w:rsid w:val="00B07BF0"/>
    <w:rsid w:val="00C356C4"/>
    <w:rsid w:val="00C74629"/>
    <w:rsid w:val="00CB6909"/>
    <w:rsid w:val="00D12DF3"/>
    <w:rsid w:val="00D304A4"/>
    <w:rsid w:val="00D879D4"/>
    <w:rsid w:val="00E910C4"/>
    <w:rsid w:val="00E94F60"/>
    <w:rsid w:val="00ED3FB6"/>
    <w:rsid w:val="00F12A6F"/>
    <w:rsid w:val="00F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ED35"/>
  <w15:chartTrackingRefBased/>
  <w15:docId w15:val="{901D6E61-0ED2-43AB-9C48-D9D6E72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AC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C4"/>
    <w:pPr>
      <w:keepNext/>
      <w:keepLines/>
      <w:spacing w:before="40" w:line="276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C4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AC4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a3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784AC4"/>
    <w:rPr>
      <w:sz w:val="24"/>
      <w:szCs w:val="24"/>
    </w:rPr>
  </w:style>
  <w:style w:type="paragraph" w:styleId="a4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3"/>
    <w:uiPriority w:val="99"/>
    <w:unhideWhenUsed/>
    <w:qFormat/>
    <w:rsid w:val="00784A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4">
    <w:name w:val="Основной текст (4)_"/>
    <w:link w:val="41"/>
    <w:locked/>
    <w:rsid w:val="00784AC4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qFormat/>
    <w:rsid w:val="00784AC4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footnote reference"/>
    <w:uiPriority w:val="99"/>
    <w:unhideWhenUsed/>
    <w:rsid w:val="00784AC4"/>
    <w:rPr>
      <w:vertAlign w:val="superscript"/>
    </w:rPr>
  </w:style>
  <w:style w:type="character" w:customStyle="1" w:styleId="11">
    <w:name w:val="Основной текст Знак1"/>
    <w:uiPriority w:val="99"/>
    <w:semiHidden/>
    <w:rsid w:val="00784AC4"/>
    <w:rPr>
      <w:rFonts w:ascii="Times New Roman" w:hAnsi="Times New Roman" w:cs="Times New Roman" w:hint="default"/>
      <w:strike w:val="0"/>
      <w:dstrike w:val="0"/>
      <w:spacing w:val="-6"/>
      <w:sz w:val="23"/>
      <w:szCs w:val="23"/>
      <w:u w:val="none"/>
      <w:effect w:val="none"/>
    </w:rPr>
  </w:style>
  <w:style w:type="paragraph" w:styleId="a6">
    <w:name w:val="header"/>
    <w:basedOn w:val="a"/>
    <w:link w:val="a7"/>
    <w:uiPriority w:val="99"/>
    <w:rsid w:val="00784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25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2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F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30</cp:revision>
  <cp:lastPrinted>2023-07-13T13:58:00Z</cp:lastPrinted>
  <dcterms:created xsi:type="dcterms:W3CDTF">2023-07-12T08:27:00Z</dcterms:created>
  <dcterms:modified xsi:type="dcterms:W3CDTF">2023-07-13T13:59:00Z</dcterms:modified>
</cp:coreProperties>
</file>