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52" w:rsidRPr="0060325A" w:rsidRDefault="00D72A52" w:rsidP="00D72A52">
      <w:pPr>
        <w:ind w:left="426"/>
        <w:jc w:val="center"/>
        <w:outlineLvl w:val="0"/>
        <w:rPr>
          <w:b/>
          <w:sz w:val="24"/>
          <w:szCs w:val="24"/>
        </w:rPr>
      </w:pPr>
      <w:r w:rsidRPr="0060325A">
        <w:rPr>
          <w:b/>
          <w:sz w:val="24"/>
          <w:szCs w:val="24"/>
        </w:rPr>
        <w:t>Сравнительная таблица</w:t>
      </w:r>
    </w:p>
    <w:p w:rsidR="00D72A52" w:rsidRDefault="00D72A52" w:rsidP="00D72A52">
      <w:pPr>
        <w:ind w:left="426"/>
        <w:jc w:val="center"/>
        <w:outlineLvl w:val="0"/>
        <w:rPr>
          <w:b/>
          <w:sz w:val="24"/>
          <w:szCs w:val="24"/>
        </w:rPr>
      </w:pPr>
      <w:r w:rsidRPr="0060325A">
        <w:rPr>
          <w:b/>
          <w:sz w:val="24"/>
          <w:szCs w:val="24"/>
        </w:rPr>
        <w:t xml:space="preserve">к проекту </w:t>
      </w:r>
      <w:r>
        <w:rPr>
          <w:b/>
          <w:sz w:val="24"/>
          <w:szCs w:val="24"/>
        </w:rPr>
        <w:t>з</w:t>
      </w:r>
      <w:r w:rsidRPr="0060325A">
        <w:rPr>
          <w:b/>
          <w:sz w:val="24"/>
          <w:szCs w:val="24"/>
        </w:rPr>
        <w:t>акона Приднестровской Молдавской Республики</w:t>
      </w:r>
    </w:p>
    <w:p w:rsidR="00D72A52" w:rsidRPr="00F640B9" w:rsidRDefault="00D72A52" w:rsidP="00D72A52">
      <w:pPr>
        <w:ind w:left="426"/>
        <w:jc w:val="center"/>
        <w:outlineLvl w:val="0"/>
        <w:rPr>
          <w:b/>
          <w:sz w:val="24"/>
          <w:szCs w:val="24"/>
        </w:rPr>
      </w:pPr>
      <w:r w:rsidRPr="0060325A">
        <w:rPr>
          <w:b/>
          <w:sz w:val="24"/>
          <w:szCs w:val="24"/>
        </w:rPr>
        <w:t xml:space="preserve">«О внесении </w:t>
      </w:r>
      <w:r>
        <w:rPr>
          <w:b/>
          <w:sz w:val="24"/>
          <w:szCs w:val="24"/>
        </w:rPr>
        <w:t>изменения и допол</w:t>
      </w:r>
      <w:r w:rsidRPr="0060325A">
        <w:rPr>
          <w:b/>
          <w:sz w:val="24"/>
          <w:szCs w:val="24"/>
        </w:rPr>
        <w:t xml:space="preserve">нения в </w:t>
      </w:r>
      <w:r>
        <w:rPr>
          <w:b/>
          <w:sz w:val="24"/>
          <w:szCs w:val="24"/>
        </w:rPr>
        <w:t>Кодекс</w:t>
      </w:r>
      <w:r w:rsidRPr="0060325A">
        <w:rPr>
          <w:b/>
          <w:sz w:val="24"/>
          <w:szCs w:val="24"/>
        </w:rPr>
        <w:t xml:space="preserve"> Приднестровской Молдавской Республики</w:t>
      </w:r>
      <w:r>
        <w:rPr>
          <w:b/>
          <w:sz w:val="24"/>
          <w:szCs w:val="24"/>
        </w:rPr>
        <w:t xml:space="preserve"> </w:t>
      </w:r>
      <w:r>
        <w:rPr>
          <w:b/>
          <w:bCs/>
          <w:kern w:val="36"/>
          <w:sz w:val="24"/>
          <w:szCs w:val="24"/>
        </w:rPr>
        <w:t>об административных правонарушениях</w:t>
      </w:r>
      <w:r w:rsidRPr="0060325A">
        <w:rPr>
          <w:b/>
          <w:bCs/>
          <w:kern w:val="36"/>
          <w:sz w:val="24"/>
          <w:szCs w:val="24"/>
        </w:rPr>
        <w:t>»</w:t>
      </w:r>
    </w:p>
    <w:tbl>
      <w:tblPr>
        <w:tblW w:w="10446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5202"/>
      </w:tblGrid>
      <w:tr w:rsidR="00D72A52" w:rsidRPr="0060325A" w:rsidTr="002F4C68">
        <w:trPr>
          <w:trHeight w:val="458"/>
        </w:trPr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A52" w:rsidRPr="0060325A" w:rsidRDefault="00D72A52" w:rsidP="002F4C68">
            <w:pPr>
              <w:jc w:val="center"/>
              <w:rPr>
                <w:b/>
                <w:sz w:val="24"/>
                <w:szCs w:val="24"/>
              </w:rPr>
            </w:pPr>
            <w:r w:rsidRPr="0060325A">
              <w:rPr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2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A52" w:rsidRPr="0060325A" w:rsidRDefault="00D72A52" w:rsidP="002F4C68">
            <w:pPr>
              <w:jc w:val="center"/>
              <w:rPr>
                <w:b/>
                <w:sz w:val="24"/>
                <w:szCs w:val="24"/>
              </w:rPr>
            </w:pPr>
            <w:r w:rsidRPr="0060325A">
              <w:rPr>
                <w:b/>
                <w:sz w:val="24"/>
                <w:szCs w:val="24"/>
              </w:rPr>
              <w:t xml:space="preserve">Предлагаемая Редакция </w:t>
            </w:r>
          </w:p>
        </w:tc>
      </w:tr>
      <w:tr w:rsidR="00D72A52" w:rsidRPr="0060325A" w:rsidTr="002F4C68">
        <w:trPr>
          <w:trHeight w:val="4524"/>
        </w:trPr>
        <w:tc>
          <w:tcPr>
            <w:tcW w:w="524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72A52" w:rsidRPr="00F640B9" w:rsidRDefault="00D72A52" w:rsidP="002F4C68">
            <w:pPr>
              <w:ind w:firstLine="708"/>
              <w:jc w:val="both"/>
              <w:rPr>
                <w:sz w:val="24"/>
                <w:szCs w:val="24"/>
              </w:rPr>
            </w:pPr>
            <w:r w:rsidRPr="00F640B9">
              <w:rPr>
                <w:sz w:val="24"/>
                <w:szCs w:val="24"/>
              </w:rPr>
              <w:t>6.22.2. Нарушение действующего законодательства в сфере ответственного обращения с собаками</w:t>
            </w:r>
          </w:p>
          <w:p w:rsidR="00D72A52" w:rsidRDefault="00D72A52" w:rsidP="002F4C68">
            <w:pPr>
              <w:ind w:firstLine="651"/>
              <w:jc w:val="both"/>
              <w:rPr>
                <w:i/>
                <w:sz w:val="24"/>
                <w:szCs w:val="24"/>
              </w:rPr>
            </w:pPr>
          </w:p>
          <w:p w:rsidR="00D72A52" w:rsidRPr="009803F4" w:rsidRDefault="00D72A52" w:rsidP="002F4C68">
            <w:pPr>
              <w:ind w:firstLine="65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отсутствует</w:t>
            </w:r>
          </w:p>
          <w:p w:rsidR="00D72A52" w:rsidRPr="009803F4" w:rsidRDefault="00D72A52" w:rsidP="002F4C68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D72A52" w:rsidRPr="009803F4" w:rsidRDefault="00D72A52" w:rsidP="002F4C68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D72A52" w:rsidRPr="009803F4" w:rsidRDefault="00D72A52" w:rsidP="002F4C68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D72A52" w:rsidRPr="009803F4" w:rsidRDefault="00D72A52" w:rsidP="002F4C68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D72A52" w:rsidRPr="009803F4" w:rsidRDefault="00D72A52" w:rsidP="002F4C68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D72A52" w:rsidRPr="009803F4" w:rsidRDefault="00D72A52" w:rsidP="002F4C68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D72A52" w:rsidRPr="009803F4" w:rsidRDefault="00D72A52" w:rsidP="002F4C68">
            <w:pPr>
              <w:ind w:firstLine="651"/>
              <w:jc w:val="both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left w:w="57" w:type="dxa"/>
              <w:right w:w="57" w:type="dxa"/>
            </w:tcMar>
          </w:tcPr>
          <w:p w:rsidR="00D72A52" w:rsidRPr="00F640B9" w:rsidRDefault="00D72A52" w:rsidP="002F4C68">
            <w:pPr>
              <w:ind w:firstLine="708"/>
              <w:jc w:val="both"/>
              <w:rPr>
                <w:b/>
                <w:sz w:val="24"/>
                <w:szCs w:val="28"/>
              </w:rPr>
            </w:pPr>
            <w:r w:rsidRPr="00F640B9">
              <w:rPr>
                <w:b/>
                <w:sz w:val="24"/>
                <w:szCs w:val="28"/>
              </w:rPr>
              <w:t>6.22.2. Нарушение действующего законодательства в сфере ответственного обращения с собаками</w:t>
            </w:r>
          </w:p>
          <w:p w:rsidR="00D72A52" w:rsidRPr="00F640B9" w:rsidRDefault="00D72A52" w:rsidP="002F4C68">
            <w:pPr>
              <w:ind w:firstLine="708"/>
              <w:jc w:val="both"/>
              <w:rPr>
                <w:b/>
                <w:sz w:val="24"/>
                <w:szCs w:val="28"/>
              </w:rPr>
            </w:pPr>
          </w:p>
          <w:p w:rsidR="00D72A52" w:rsidRPr="00F640B9" w:rsidRDefault="00D72A52" w:rsidP="002F4C68">
            <w:pPr>
              <w:ind w:firstLine="708"/>
              <w:jc w:val="both"/>
              <w:rPr>
                <w:b/>
                <w:sz w:val="24"/>
                <w:szCs w:val="28"/>
              </w:rPr>
            </w:pPr>
            <w:r w:rsidRPr="00F640B9">
              <w:rPr>
                <w:b/>
                <w:sz w:val="24"/>
                <w:szCs w:val="28"/>
              </w:rPr>
              <w:t>1. Нарушение действующего законодательства в сфере ответственного обращения с собаками,-</w:t>
            </w:r>
          </w:p>
          <w:p w:rsidR="00D72A52" w:rsidRPr="00F640B9" w:rsidRDefault="00D72A52" w:rsidP="002F4C68">
            <w:pPr>
              <w:ind w:firstLine="708"/>
              <w:jc w:val="both"/>
              <w:outlineLvl w:val="2"/>
              <w:rPr>
                <w:b/>
                <w:sz w:val="24"/>
                <w:szCs w:val="28"/>
              </w:rPr>
            </w:pPr>
            <w:r w:rsidRPr="00F640B9">
              <w:rPr>
                <w:b/>
                <w:sz w:val="24"/>
                <w:szCs w:val="28"/>
              </w:rPr>
              <w:t>влечет предупреждение или наложение административного штрафа на граждан                            в размере от 20 (двадцати) до 60 (шестидесяти) РУ МЗП, на должностных лиц – от 100 (ста)                до 200 (двухсот) РУ МЗП.</w:t>
            </w:r>
          </w:p>
          <w:p w:rsidR="00D72A52" w:rsidRPr="007B2895" w:rsidRDefault="00D72A52" w:rsidP="002F4C68">
            <w:pPr>
              <w:ind w:firstLine="720"/>
              <w:jc w:val="both"/>
              <w:outlineLvl w:val="2"/>
              <w:rPr>
                <w:b/>
                <w:bCs/>
                <w:sz w:val="24"/>
                <w:szCs w:val="28"/>
              </w:rPr>
            </w:pPr>
            <w:r w:rsidRPr="007B2895">
              <w:rPr>
                <w:b/>
                <w:bCs/>
                <w:sz w:val="24"/>
                <w:szCs w:val="28"/>
              </w:rPr>
              <w:t xml:space="preserve">2. То же деяние, совершенное повторно, </w:t>
            </w:r>
            <w:r w:rsidRPr="007B2895">
              <w:rPr>
                <w:b/>
                <w:sz w:val="24"/>
                <w:szCs w:val="28"/>
              </w:rPr>
              <w:t>–</w:t>
            </w:r>
          </w:p>
          <w:p w:rsidR="00D72A52" w:rsidRPr="009803F4" w:rsidRDefault="00D72A52" w:rsidP="002F4C68">
            <w:pPr>
              <w:ind w:firstLine="651"/>
              <w:jc w:val="both"/>
              <w:rPr>
                <w:sz w:val="24"/>
                <w:szCs w:val="24"/>
              </w:rPr>
            </w:pPr>
            <w:r w:rsidRPr="007B2895">
              <w:rPr>
                <w:b/>
                <w:bCs/>
                <w:sz w:val="24"/>
                <w:szCs w:val="28"/>
              </w:rPr>
              <w:t>влечет</w:t>
            </w:r>
            <w:r w:rsidRPr="007B2895">
              <w:rPr>
                <w:rFonts w:eastAsia="Calibri"/>
                <w:b/>
                <w:sz w:val="24"/>
                <w:szCs w:val="28"/>
                <w:lang w:eastAsia="en-US"/>
              </w:rPr>
              <w:t xml:space="preserve"> наложение административного штрафа на граждан в размере от 50 (пятидесяти) до 100 (ста) РУ МЗП, на должностных лиц – </w:t>
            </w:r>
            <w:r w:rsidRPr="00F640B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Pr="007B2895">
              <w:rPr>
                <w:rFonts w:eastAsia="Calibri"/>
                <w:b/>
                <w:sz w:val="24"/>
                <w:szCs w:val="28"/>
                <w:lang w:eastAsia="en-US"/>
              </w:rPr>
              <w:t>от 200 (двухсот) до 350 (трехсот пятидесяти) РУ МЗП.</w:t>
            </w:r>
          </w:p>
        </w:tc>
      </w:tr>
      <w:tr w:rsidR="00D72A52" w:rsidRPr="0060325A" w:rsidTr="002F4C68">
        <w:trPr>
          <w:trHeight w:val="4004"/>
        </w:trPr>
        <w:tc>
          <w:tcPr>
            <w:tcW w:w="524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72A52" w:rsidRPr="00F640B9" w:rsidRDefault="00D72A52" w:rsidP="002F4C68">
            <w:pPr>
              <w:ind w:firstLine="708"/>
              <w:jc w:val="both"/>
              <w:outlineLvl w:val="2"/>
              <w:rPr>
                <w:sz w:val="28"/>
                <w:szCs w:val="28"/>
              </w:rPr>
            </w:pPr>
            <w:r w:rsidRPr="00F640B9">
              <w:rPr>
                <w:b/>
                <w:sz w:val="24"/>
                <w:szCs w:val="28"/>
              </w:rPr>
              <w:t>Статья 29.4.</w:t>
            </w:r>
            <w:r w:rsidRPr="00F640B9">
              <w:rPr>
                <w:sz w:val="24"/>
                <w:szCs w:val="28"/>
              </w:rPr>
              <w:t xml:space="preserve"> Должностные лица, уполномоченные составлять протоколы об административных правонарушениях </w:t>
            </w:r>
          </w:p>
          <w:p w:rsidR="00D72A52" w:rsidRDefault="00D72A52" w:rsidP="002F4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  <w:p w:rsidR="00D72A52" w:rsidRPr="00F640B9" w:rsidRDefault="00D72A52" w:rsidP="002F4C68">
            <w:pPr>
              <w:pStyle w:val="a3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0B9">
              <w:rPr>
                <w:rFonts w:ascii="Times New Roman" w:hAnsi="Times New Roman"/>
                <w:sz w:val="24"/>
                <w:szCs w:val="24"/>
              </w:rPr>
              <w:t>а) должностные лица органов внутренних дел (мил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>и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 xml:space="preserve">ции) </w:t>
            </w:r>
            <w:r w:rsidRPr="00F640B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 xml:space="preserve"> об административных правонарушениях, предусмотре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статьями 5.5, 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 xml:space="preserve">5.9–5.11, 5.13–5.15, 5.19, 5.27, 5.29, 5.45, 5.48–5.51, 5.59, 5.61, 5.62, 6.7, 6.11–6.16, 6.18, 6.20, 6.21, 6.22, </w:t>
            </w:r>
            <w:r w:rsidRPr="00F640B9">
              <w:rPr>
                <w:rFonts w:ascii="Times New Roman" w:hAnsi="Times New Roman"/>
                <w:i/>
                <w:sz w:val="24"/>
                <w:szCs w:val="24"/>
              </w:rPr>
              <w:t>6.22.1, 6.23.1,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 xml:space="preserve"> 6.24, 6.25, 6.26, пунктами 2 и 3 статьи 7.2, статьями 7.6, 7.18–7.20, 7.26</w:t>
            </w:r>
            <w:r w:rsidRPr="00F640B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 xml:space="preserve">7.29, 8.2, 8.3, пунктами 1, 3, 5 </w:t>
            </w:r>
            <w:r w:rsidRPr="00F640B9">
              <w:rPr>
                <w:rFonts w:ascii="Times New Roman" w:hAnsi="Times New Roman"/>
                <w:sz w:val="24"/>
                <w:szCs w:val="24"/>
              </w:rPr>
              <w:br/>
              <w:t>ст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>а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>тьи 8.13, статьями 8.15, 8.18–8.20, 8.25–8.28, 8.35, пунктами 1 и 2 статьи 8.36, пунктами 1 и 2 статьи 9.5, статьями 9.6, 9.9, 10.1 (по делам об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министративных правонарушениях, 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>совершенных на земельных участках из категории земель населенных пунктов, за исключением земель населенных пунктов, предоставленных для сельскохозяйственных целей) –10.6, 10.11, пунктами 1, 3–5 статьи 11.1, пунктами 1, 3, 4 статьи 11.2, пунктом 2 статьи 11.5, стат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>ь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>ями 11.15–11.18, 12.1–12.36, 12.39, 12.40, 12.41, 13.1, 13.8.1, 13.9, пунктами 1 и 2 статьи 13.12, стат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>ь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 xml:space="preserve">ями 13.13–13.15, 13.17, 13.25, 13.28–13.30, 14.1–14.8, 14.11, 14.11.1, 14.12, 14.17–14.26, пунктом 5 статьи 14.28, статьями 14.29, </w:t>
            </w:r>
            <w:r w:rsidRPr="00F640B9">
              <w:rPr>
                <w:rFonts w:ascii="Times New Roman" w:hAnsi="Times New Roman"/>
                <w:bCs/>
                <w:sz w:val="24"/>
                <w:szCs w:val="24"/>
              </w:rPr>
              <w:t xml:space="preserve">14.38, 14.39, 14.42, 14.44, 14.45, 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>15.1, 15.12–15.25, пунктом 1 ст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>а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>тьи 15.26, пунктом 1 статьи 15.29,</w:t>
            </w:r>
            <w:r w:rsidRPr="00F64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пунктом 6 статьи 15.44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40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статьей 17.7, статьей 17.12.1 (в части нарушения временного ограничения на пользование специальным правом в виде права </w:t>
            </w:r>
            <w:r w:rsidRPr="00F640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автомобильными транспортными средствами, мотоциклами, мопедами и легкими квадрициклами, трициклами и квадрициклами), статьей 17.13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>, статьей 17.15 (по делам о клевете в отношении следователя и лица, производящего дознание), статьями 17.16–17.18, 18.6, 19.1, 19.4, 19.11–19.13, 19.15–19.20, 19.24–19.26, 19.29, 19.30, 19.31, 19.35, 20.1–20.4, 20.6, 20.7, 20.9–20.23, пунктами 2 и 3 статьи 20.24, 20.26, 20.27, 20.28, 21.5 насто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>я</w:t>
            </w:r>
            <w:r w:rsidRPr="00F640B9">
              <w:rPr>
                <w:rFonts w:ascii="Times New Roman" w:hAnsi="Times New Roman"/>
                <w:sz w:val="24"/>
                <w:szCs w:val="24"/>
              </w:rPr>
              <w:t xml:space="preserve">щего Кодекса; </w:t>
            </w:r>
          </w:p>
        </w:tc>
        <w:tc>
          <w:tcPr>
            <w:tcW w:w="5202" w:type="dxa"/>
            <w:tcMar>
              <w:left w:w="57" w:type="dxa"/>
              <w:right w:w="57" w:type="dxa"/>
            </w:tcMar>
          </w:tcPr>
          <w:p w:rsidR="00D72A52" w:rsidRPr="00F640B9" w:rsidRDefault="00D72A52" w:rsidP="002F4C68">
            <w:pPr>
              <w:ind w:firstLine="708"/>
              <w:jc w:val="both"/>
              <w:outlineLvl w:val="2"/>
              <w:rPr>
                <w:sz w:val="28"/>
                <w:szCs w:val="28"/>
              </w:rPr>
            </w:pPr>
            <w:r w:rsidRPr="00F640B9">
              <w:rPr>
                <w:b/>
                <w:sz w:val="24"/>
                <w:szCs w:val="28"/>
              </w:rPr>
              <w:lastRenderedPageBreak/>
              <w:t>Статья 29.4.</w:t>
            </w:r>
            <w:r w:rsidRPr="00F640B9">
              <w:rPr>
                <w:sz w:val="24"/>
                <w:szCs w:val="28"/>
              </w:rPr>
              <w:t xml:space="preserve"> Должностные лица, уполномоченные составлять протоколы об административных правонарушениях </w:t>
            </w:r>
          </w:p>
          <w:p w:rsidR="00D72A52" w:rsidRDefault="00D72A52" w:rsidP="002F4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  <w:p w:rsidR="00D72A52" w:rsidRPr="00F640B9" w:rsidRDefault="00D72A52" w:rsidP="002F4C68">
            <w:pPr>
              <w:ind w:firstLine="708"/>
              <w:jc w:val="both"/>
              <w:rPr>
                <w:b/>
                <w:sz w:val="24"/>
                <w:szCs w:val="28"/>
              </w:rPr>
            </w:pPr>
            <w:r w:rsidRPr="00F640B9">
              <w:rPr>
                <w:sz w:val="24"/>
                <w:szCs w:val="24"/>
              </w:rPr>
              <w:t>а) должностные лица органов внутренних дел (мил</w:t>
            </w:r>
            <w:r w:rsidRPr="00F640B9">
              <w:rPr>
                <w:sz w:val="24"/>
                <w:szCs w:val="24"/>
              </w:rPr>
              <w:t>и</w:t>
            </w:r>
            <w:r w:rsidRPr="00F640B9">
              <w:rPr>
                <w:sz w:val="24"/>
                <w:szCs w:val="24"/>
              </w:rPr>
              <w:t xml:space="preserve">ции) </w:t>
            </w:r>
            <w:r w:rsidRPr="00F640B9">
              <w:rPr>
                <w:bCs/>
                <w:sz w:val="24"/>
                <w:szCs w:val="24"/>
              </w:rPr>
              <w:t>–</w:t>
            </w:r>
            <w:r w:rsidRPr="00F640B9">
              <w:rPr>
                <w:sz w:val="24"/>
                <w:szCs w:val="24"/>
              </w:rPr>
              <w:t xml:space="preserve"> об административных правонарушениях, предусмотре</w:t>
            </w:r>
            <w:r w:rsidRPr="00F640B9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ных статьями 5.5, </w:t>
            </w:r>
            <w:r w:rsidRPr="00F640B9">
              <w:rPr>
                <w:sz w:val="24"/>
                <w:szCs w:val="24"/>
              </w:rPr>
              <w:t>5.9–5.11, 5.13–5.15, 5.19, 5.27, 5.29, 5.45, 5.48–5.51, 5.59, 5.61, 5.62, 6.7, 6.11–6.16, 6.18, 6.20, 6.21, 6.22, 6.22.1,</w:t>
            </w:r>
            <w:r>
              <w:rPr>
                <w:sz w:val="24"/>
                <w:szCs w:val="24"/>
              </w:rPr>
              <w:t xml:space="preserve"> </w:t>
            </w:r>
            <w:r w:rsidRPr="00F640B9">
              <w:rPr>
                <w:b/>
                <w:sz w:val="24"/>
                <w:szCs w:val="24"/>
                <w:u w:val="single"/>
              </w:rPr>
              <w:t>6.22.2,</w:t>
            </w:r>
            <w:r w:rsidRPr="00F640B9">
              <w:rPr>
                <w:sz w:val="24"/>
                <w:szCs w:val="24"/>
              </w:rPr>
              <w:t xml:space="preserve"> 6.23.1, 6.24, 6.25, 6.26, пунктами 2 и 3 статьи 7.2, статьями 7.6, 7.18–7.20, 7.26</w:t>
            </w:r>
            <w:r w:rsidRPr="00F640B9">
              <w:rPr>
                <w:bCs/>
                <w:sz w:val="24"/>
                <w:szCs w:val="24"/>
              </w:rPr>
              <w:t>–</w:t>
            </w:r>
            <w:r w:rsidRPr="00F640B9">
              <w:rPr>
                <w:sz w:val="24"/>
                <w:szCs w:val="24"/>
              </w:rPr>
              <w:t xml:space="preserve">7.29, 8.2, 8.3, пунктами 1, 3, 5 </w:t>
            </w:r>
            <w:r w:rsidRPr="00F640B9">
              <w:rPr>
                <w:sz w:val="24"/>
                <w:szCs w:val="24"/>
              </w:rPr>
              <w:br/>
              <w:t>ст</w:t>
            </w:r>
            <w:r w:rsidRPr="00F640B9">
              <w:rPr>
                <w:sz w:val="24"/>
                <w:szCs w:val="24"/>
              </w:rPr>
              <w:t>а</w:t>
            </w:r>
            <w:r w:rsidRPr="00F640B9">
              <w:rPr>
                <w:sz w:val="24"/>
                <w:szCs w:val="24"/>
              </w:rPr>
              <w:t>тьи 8.13, статьями 8.15, 8.18–8.20, 8.25–8.28, 8.35, пунктами 1 и 2 статьи 8.36, пунктами 1 и 2 статьи 9.5, статьями 9.6, 9.9, 10.1 (по делам об ад</w:t>
            </w:r>
            <w:r>
              <w:rPr>
                <w:sz w:val="24"/>
                <w:szCs w:val="24"/>
              </w:rPr>
              <w:t xml:space="preserve">министративных правонарушениях, </w:t>
            </w:r>
            <w:r w:rsidRPr="00F640B9">
              <w:rPr>
                <w:sz w:val="24"/>
                <w:szCs w:val="24"/>
              </w:rPr>
              <w:t>совершенных на земельных участках из категории земель населенных пунктов, за исключением земель населенных пунктов, предоставленных для сельскохозяйственных целей) –10.6, 10.11, пунктами 1, 3–5 статьи 11.1, пунктами 1, 3, 4 статьи 11.2, пунктом 2 статьи 11.5, стат</w:t>
            </w:r>
            <w:r w:rsidRPr="00F640B9">
              <w:rPr>
                <w:sz w:val="24"/>
                <w:szCs w:val="24"/>
              </w:rPr>
              <w:t>ь</w:t>
            </w:r>
            <w:r w:rsidRPr="00F640B9">
              <w:rPr>
                <w:sz w:val="24"/>
                <w:szCs w:val="24"/>
              </w:rPr>
              <w:t>ями 11.15–11.18, 12.1–12.36, 12.39, 12.40, 12.41, 13.1, 13.8.1, 13.9, пунктами 1 и 2 статьи 13.12, стат</w:t>
            </w:r>
            <w:r w:rsidRPr="00F640B9">
              <w:rPr>
                <w:sz w:val="24"/>
                <w:szCs w:val="24"/>
              </w:rPr>
              <w:t>ь</w:t>
            </w:r>
            <w:r w:rsidRPr="00F640B9">
              <w:rPr>
                <w:sz w:val="24"/>
                <w:szCs w:val="24"/>
              </w:rPr>
              <w:t xml:space="preserve">ями 13.13–13.15, 13.17, 13.25, 13.28–13.30, 14.1–14.8, 14.11, 14.11.1, 14.12, 14.17–14.26, пунктом 5 статьи 14.28, статьями 14.29, </w:t>
            </w:r>
            <w:r w:rsidRPr="00F640B9">
              <w:rPr>
                <w:bCs/>
                <w:sz w:val="24"/>
                <w:szCs w:val="24"/>
              </w:rPr>
              <w:t xml:space="preserve">14.38, 14.39, 14.42, 14.44, 14.45, </w:t>
            </w:r>
            <w:r w:rsidRPr="00F640B9">
              <w:rPr>
                <w:sz w:val="24"/>
                <w:szCs w:val="24"/>
              </w:rPr>
              <w:t>15.1, 15.12–15.25, пунктом 1 ст</w:t>
            </w:r>
            <w:r w:rsidRPr="00F640B9">
              <w:rPr>
                <w:sz w:val="24"/>
                <w:szCs w:val="24"/>
              </w:rPr>
              <w:t>а</w:t>
            </w:r>
            <w:r w:rsidRPr="00F640B9">
              <w:rPr>
                <w:sz w:val="24"/>
                <w:szCs w:val="24"/>
              </w:rPr>
              <w:t xml:space="preserve">тьи 15.26, пунктом 1 статьи 15.29, пунктом 6 статьи 15.44, </w:t>
            </w:r>
            <w:r w:rsidRPr="00F640B9">
              <w:rPr>
                <w:color w:val="000000"/>
                <w:sz w:val="24"/>
                <w:szCs w:val="24"/>
              </w:rPr>
              <w:t xml:space="preserve">статьей 17.7, статьей 17.12.1 (в части нарушения временного ограничения на пользование специальным </w:t>
            </w:r>
            <w:r w:rsidRPr="00F640B9">
              <w:rPr>
                <w:color w:val="000000"/>
                <w:sz w:val="24"/>
                <w:szCs w:val="24"/>
              </w:rPr>
              <w:lastRenderedPageBreak/>
              <w:t>правом в виде права управления автомобильными транспортными средствами, мотоциклами, мопедами и легкими квадрициклами, трициклами и квадрициклами), статьей 17.13</w:t>
            </w:r>
            <w:r w:rsidRPr="00F640B9">
              <w:rPr>
                <w:sz w:val="24"/>
                <w:szCs w:val="24"/>
              </w:rPr>
              <w:t>, статьей 17.15 (по делам о клевете в отношении следователя и лица, производящего дознание), статьями 17.16–17.18, 18.6, 19.1, 19.4, 19.11–19.13, 19.15–19.20, 19.24–19.26, 19.29, 19.30, 19.31, 19.35, 20.1–20.4, 20.6, 20.7, 20.9–20.23, пунктами 2 и 3 статьи 20.24, 20.26, 20.27, 20.28, 21.5 насто</w:t>
            </w:r>
            <w:r w:rsidRPr="00F640B9">
              <w:rPr>
                <w:sz w:val="24"/>
                <w:szCs w:val="24"/>
              </w:rPr>
              <w:t>я</w:t>
            </w:r>
            <w:r w:rsidRPr="00F640B9">
              <w:rPr>
                <w:sz w:val="24"/>
                <w:szCs w:val="24"/>
              </w:rPr>
              <w:t>щего Кодекса;</w:t>
            </w:r>
          </w:p>
        </w:tc>
      </w:tr>
    </w:tbl>
    <w:p w:rsidR="00D72A52" w:rsidRPr="00703B51" w:rsidRDefault="00D72A52" w:rsidP="00D72A52"/>
    <w:p w:rsidR="00D72A52" w:rsidRPr="00703B51" w:rsidRDefault="00D72A52" w:rsidP="00D72A52"/>
    <w:p w:rsidR="00D12435" w:rsidRDefault="00D72A52">
      <w:bookmarkStart w:id="0" w:name="_GoBack"/>
      <w:bookmarkEnd w:id="0"/>
    </w:p>
    <w:sectPr w:rsidR="00D12435" w:rsidSect="008D7F16">
      <w:pgSz w:w="11906" w:h="16838"/>
      <w:pgMar w:top="510" w:right="192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77"/>
    <w:rsid w:val="00D72A52"/>
    <w:rsid w:val="00FB2A91"/>
    <w:rsid w:val="00FD69DF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6E95B-A6FE-4B33-8A33-B751D0A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A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Погребная Анастасия Владиславовна</dc:creator>
  <cp:keywords/>
  <dc:description/>
  <cp:lastModifiedBy>Погребная Анастасия Владиславовна</cp:lastModifiedBy>
  <cp:revision>2</cp:revision>
  <dcterms:created xsi:type="dcterms:W3CDTF">2023-08-14T11:20:00Z</dcterms:created>
  <dcterms:modified xsi:type="dcterms:W3CDTF">2023-08-14T11:20:00Z</dcterms:modified>
</cp:coreProperties>
</file>