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AA" w:rsidRPr="00F208BD" w:rsidRDefault="00E904AA" w:rsidP="00E904AA">
      <w:pPr>
        <w:jc w:val="center"/>
        <w:rPr>
          <w:b w:val="0"/>
          <w:color w:val="auto"/>
          <w:sz w:val="23"/>
          <w:szCs w:val="23"/>
        </w:rPr>
      </w:pPr>
      <w:r w:rsidRPr="00F208BD">
        <w:rPr>
          <w:b w:val="0"/>
          <w:color w:val="auto"/>
          <w:sz w:val="23"/>
          <w:szCs w:val="23"/>
        </w:rPr>
        <w:t>Сравнительная таблица</w:t>
      </w:r>
    </w:p>
    <w:p w:rsidR="00E904AA" w:rsidRPr="00E904AA" w:rsidRDefault="00E904AA" w:rsidP="00E904AA">
      <w:pPr>
        <w:ind w:firstLine="567"/>
        <w:jc w:val="center"/>
        <w:rPr>
          <w:b w:val="0"/>
          <w:color w:val="auto"/>
          <w:sz w:val="23"/>
          <w:szCs w:val="23"/>
        </w:rPr>
      </w:pPr>
      <w:r w:rsidRPr="00F208BD">
        <w:rPr>
          <w:b w:val="0"/>
          <w:color w:val="auto"/>
          <w:sz w:val="23"/>
          <w:szCs w:val="23"/>
        </w:rPr>
        <w:t xml:space="preserve">к </w:t>
      </w:r>
      <w:r w:rsidRPr="00E904AA">
        <w:rPr>
          <w:b w:val="0"/>
          <w:color w:val="auto"/>
          <w:sz w:val="23"/>
          <w:szCs w:val="23"/>
        </w:rPr>
        <w:t>проекту закона Приднестровской Молдавской Республики</w:t>
      </w:r>
    </w:p>
    <w:p w:rsidR="00E904AA" w:rsidRPr="00E904AA" w:rsidRDefault="00E904AA" w:rsidP="00E904AA">
      <w:pPr>
        <w:ind w:firstLine="567"/>
        <w:jc w:val="center"/>
        <w:rPr>
          <w:b w:val="0"/>
          <w:color w:val="auto"/>
          <w:sz w:val="23"/>
          <w:szCs w:val="23"/>
        </w:rPr>
      </w:pPr>
      <w:r w:rsidRPr="00E904AA">
        <w:rPr>
          <w:b w:val="0"/>
          <w:color w:val="auto"/>
          <w:sz w:val="23"/>
          <w:szCs w:val="23"/>
        </w:rPr>
        <w:t xml:space="preserve">«О внесении изменения </w:t>
      </w:r>
      <w:r w:rsidRPr="00E904AA">
        <w:rPr>
          <w:b w:val="0"/>
          <w:color w:val="auto"/>
          <w:sz w:val="24"/>
          <w:szCs w:val="24"/>
        </w:rPr>
        <w:t xml:space="preserve">и дополнения </w:t>
      </w:r>
      <w:r w:rsidRPr="00E904AA">
        <w:rPr>
          <w:b w:val="0"/>
          <w:color w:val="auto"/>
          <w:sz w:val="23"/>
          <w:szCs w:val="23"/>
        </w:rPr>
        <w:t>в Закон Приднестровской Молдавской Республики</w:t>
      </w:r>
    </w:p>
    <w:p w:rsidR="00E904AA" w:rsidRPr="00F208BD" w:rsidRDefault="00E904AA" w:rsidP="00E904AA">
      <w:pPr>
        <w:ind w:firstLine="567"/>
        <w:jc w:val="center"/>
        <w:rPr>
          <w:b w:val="0"/>
          <w:color w:val="auto"/>
          <w:sz w:val="23"/>
          <w:szCs w:val="23"/>
        </w:rPr>
      </w:pPr>
      <w:r w:rsidRPr="00E904AA">
        <w:rPr>
          <w:b w:val="0"/>
          <w:color w:val="auto"/>
          <w:sz w:val="23"/>
          <w:szCs w:val="23"/>
        </w:rPr>
        <w:t>«О подоходном налоге</w:t>
      </w:r>
      <w:r w:rsidRPr="00F208BD">
        <w:rPr>
          <w:b w:val="0"/>
          <w:color w:val="auto"/>
          <w:sz w:val="23"/>
          <w:szCs w:val="23"/>
        </w:rPr>
        <w:t xml:space="preserve"> с физических лиц»</w:t>
      </w:r>
    </w:p>
    <w:p w:rsidR="00E904AA" w:rsidRPr="00F208BD" w:rsidRDefault="00E904AA" w:rsidP="00E904AA">
      <w:pPr>
        <w:ind w:firstLine="567"/>
        <w:jc w:val="center"/>
        <w:rPr>
          <w:b w:val="0"/>
          <w:color w:val="auto"/>
          <w:sz w:val="23"/>
          <w:szCs w:val="23"/>
        </w:rPr>
      </w:pPr>
    </w:p>
    <w:p w:rsidR="00E904AA" w:rsidRPr="00F208BD" w:rsidRDefault="00E904AA" w:rsidP="00E904AA">
      <w:pPr>
        <w:rPr>
          <w:b w:val="0"/>
          <w:color w:val="auto"/>
          <w:sz w:val="23"/>
          <w:szCs w:val="23"/>
        </w:rPr>
      </w:pPr>
    </w:p>
    <w:tbl>
      <w:tblPr>
        <w:tblW w:w="5157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  <w:gridCol w:w="4951"/>
      </w:tblGrid>
      <w:tr w:rsidR="00E904AA" w:rsidRPr="00F208BD" w:rsidTr="00563111">
        <w:trPr>
          <w:tblHeader/>
          <w:jc w:val="right"/>
        </w:trPr>
        <w:tc>
          <w:tcPr>
            <w:tcW w:w="2507" w:type="pct"/>
            <w:shd w:val="clear" w:color="auto" w:fill="BFBFBF" w:themeFill="background1" w:themeFillShade="BF"/>
          </w:tcPr>
          <w:p w:rsidR="00E904AA" w:rsidRPr="00F208BD" w:rsidRDefault="00E904AA" w:rsidP="00563111">
            <w:pPr>
              <w:jc w:val="center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Действующая редакция</w:t>
            </w:r>
          </w:p>
        </w:tc>
        <w:tc>
          <w:tcPr>
            <w:tcW w:w="2493" w:type="pct"/>
            <w:shd w:val="clear" w:color="auto" w:fill="BFBFBF" w:themeFill="background1" w:themeFillShade="BF"/>
          </w:tcPr>
          <w:p w:rsidR="00E904AA" w:rsidRPr="00F208BD" w:rsidRDefault="00E904AA" w:rsidP="00563111">
            <w:pPr>
              <w:jc w:val="center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Предлагаемая редакция</w:t>
            </w:r>
          </w:p>
        </w:tc>
      </w:tr>
      <w:tr w:rsidR="00E904AA" w:rsidRPr="00F208BD" w:rsidTr="00563111">
        <w:trPr>
          <w:tblHeader/>
          <w:jc w:val="right"/>
        </w:trPr>
        <w:tc>
          <w:tcPr>
            <w:tcW w:w="2507" w:type="pct"/>
            <w:shd w:val="clear" w:color="auto" w:fill="BFBFBF" w:themeFill="background1" w:themeFillShade="BF"/>
          </w:tcPr>
          <w:p w:rsidR="00E904AA" w:rsidRPr="00F208BD" w:rsidRDefault="00E904AA" w:rsidP="00563111">
            <w:pPr>
              <w:jc w:val="center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2493" w:type="pct"/>
            <w:shd w:val="clear" w:color="auto" w:fill="BFBFBF" w:themeFill="background1" w:themeFillShade="BF"/>
          </w:tcPr>
          <w:p w:rsidR="00E904AA" w:rsidRPr="00F208BD" w:rsidRDefault="00E904AA" w:rsidP="00563111">
            <w:pPr>
              <w:jc w:val="center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2</w:t>
            </w:r>
          </w:p>
        </w:tc>
      </w:tr>
      <w:tr w:rsidR="00E904AA" w:rsidRPr="00F208BD" w:rsidTr="00563111">
        <w:trPr>
          <w:jc w:val="right"/>
        </w:trPr>
        <w:tc>
          <w:tcPr>
            <w:tcW w:w="2507" w:type="pct"/>
          </w:tcPr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Статья 8. Доходы, не подлежащие налогообложению</w:t>
            </w:r>
          </w:p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1. В облагаемый налогом доход не включаются:</w:t>
            </w:r>
          </w:p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…</w:t>
            </w:r>
          </w:p>
          <w:p w:rsidR="00E904AA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з) суммы выплат, получаемые в возмещение вреда при утрате трудоспособности, связанной с увечьем или иным повреждением здоровья, а также в связи с потерей кормильца;</w:t>
            </w:r>
          </w:p>
          <w:p w:rsidR="00E904AA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  <w:highlight w:val="yellow"/>
              </w:rPr>
            </w:pPr>
          </w:p>
          <w:p w:rsidR="00E904AA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  <w:highlight w:val="yellow"/>
              </w:rPr>
            </w:pPr>
          </w:p>
          <w:p w:rsidR="00E904AA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  <w:highlight w:val="yellow"/>
              </w:rPr>
            </w:pPr>
          </w:p>
          <w:p w:rsidR="00E904AA" w:rsidRPr="00E904AA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E904AA">
              <w:rPr>
                <w:b w:val="0"/>
                <w:color w:val="auto"/>
                <w:sz w:val="23"/>
                <w:szCs w:val="23"/>
              </w:rPr>
              <w:t>…</w:t>
            </w:r>
          </w:p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E904AA">
              <w:rPr>
                <w:b w:val="0"/>
                <w:color w:val="auto"/>
                <w:sz w:val="24"/>
                <w:szCs w:val="24"/>
              </w:rPr>
              <w:t>з-1</w:t>
            </w:r>
            <w:r w:rsidRPr="00E904AA">
              <w:rPr>
                <w:b w:val="0"/>
                <w:color w:val="auto"/>
                <w:sz w:val="23"/>
                <w:szCs w:val="23"/>
              </w:rPr>
              <w:t>) отсутствует</w:t>
            </w:r>
            <w:r>
              <w:rPr>
                <w:b w:val="0"/>
                <w:color w:val="auto"/>
                <w:sz w:val="23"/>
                <w:szCs w:val="23"/>
              </w:rPr>
              <w:t>.</w:t>
            </w:r>
          </w:p>
        </w:tc>
        <w:tc>
          <w:tcPr>
            <w:tcW w:w="2493" w:type="pct"/>
          </w:tcPr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Статья 8. Доходы, не подлежащие налогообложению</w:t>
            </w:r>
          </w:p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1. В облагаемый налогом доход не включаются:</w:t>
            </w:r>
          </w:p>
          <w:p w:rsidR="00E904AA" w:rsidRPr="00F208BD" w:rsidRDefault="00E904AA" w:rsidP="00563111">
            <w:pPr>
              <w:autoSpaceDE w:val="0"/>
              <w:autoSpaceDN w:val="0"/>
              <w:adjustRightInd w:val="0"/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>…</w:t>
            </w:r>
          </w:p>
          <w:p w:rsidR="00E904AA" w:rsidRPr="00E904AA" w:rsidRDefault="00E904AA" w:rsidP="00563111">
            <w:pPr>
              <w:ind w:firstLine="284"/>
              <w:jc w:val="both"/>
              <w:rPr>
                <w:color w:val="auto"/>
                <w:sz w:val="23"/>
                <w:szCs w:val="23"/>
              </w:rPr>
            </w:pPr>
            <w:r w:rsidRPr="00F208BD">
              <w:rPr>
                <w:b w:val="0"/>
                <w:color w:val="auto"/>
                <w:sz w:val="23"/>
                <w:szCs w:val="23"/>
              </w:rPr>
              <w:t xml:space="preserve">з) суммы выплат, получаемые в возмещение вреда при утрате трудоспособности, связанной с увечьем или иным повреждением здоровья, а также в связи с потерей кормильца, </w:t>
            </w:r>
            <w:r w:rsidRPr="00F208BD">
              <w:rPr>
                <w:color w:val="auto"/>
                <w:sz w:val="23"/>
                <w:szCs w:val="23"/>
              </w:rPr>
              <w:t xml:space="preserve">в том числе единовременное пособие работникам, утратившим трудоспособность, и членам </w:t>
            </w:r>
            <w:r w:rsidRPr="00E904AA">
              <w:rPr>
                <w:color w:val="auto"/>
                <w:sz w:val="23"/>
                <w:szCs w:val="23"/>
              </w:rPr>
              <w:t>семей погибших на производстве;</w:t>
            </w:r>
          </w:p>
          <w:p w:rsidR="00E904AA" w:rsidRPr="00E904AA" w:rsidRDefault="00E904AA" w:rsidP="00563111">
            <w:pPr>
              <w:ind w:firstLine="284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E904AA">
              <w:rPr>
                <w:b w:val="0"/>
                <w:color w:val="auto"/>
                <w:sz w:val="23"/>
                <w:szCs w:val="23"/>
              </w:rPr>
              <w:t>…</w:t>
            </w:r>
          </w:p>
          <w:p w:rsidR="00E904AA" w:rsidRPr="00DB18B4" w:rsidRDefault="00E904AA" w:rsidP="00563111">
            <w:pPr>
              <w:ind w:firstLine="284"/>
              <w:jc w:val="both"/>
              <w:rPr>
                <w:bCs w:val="0"/>
                <w:color w:val="auto"/>
                <w:sz w:val="23"/>
                <w:szCs w:val="23"/>
              </w:rPr>
            </w:pPr>
            <w:r w:rsidRPr="00E904AA">
              <w:rPr>
                <w:b w:val="0"/>
                <w:color w:val="auto"/>
                <w:sz w:val="24"/>
                <w:szCs w:val="24"/>
              </w:rPr>
              <w:t>з-1</w:t>
            </w:r>
            <w:r w:rsidRPr="00E904AA">
              <w:rPr>
                <w:bCs w:val="0"/>
                <w:color w:val="auto"/>
                <w:sz w:val="23"/>
                <w:szCs w:val="23"/>
              </w:rPr>
              <w:t>)</w:t>
            </w:r>
            <w:r w:rsidRPr="00E904AA">
              <w:rPr>
                <w:bCs w:val="0"/>
                <w:color w:val="auto"/>
                <w:sz w:val="24"/>
                <w:szCs w:val="24"/>
              </w:rPr>
              <w:t xml:space="preserve"> выплаты, производимые работникам, связанные с возмещением расходов, понесенных при прохождении предварительных (при поступлении на работу) медицинских осмотров</w:t>
            </w:r>
            <w:bookmarkStart w:id="0" w:name="_GoBack"/>
            <w:bookmarkEnd w:id="0"/>
            <w:r w:rsidRPr="00E904AA">
              <w:rPr>
                <w:bCs w:val="0"/>
                <w:color w:val="auto"/>
                <w:sz w:val="24"/>
                <w:szCs w:val="24"/>
              </w:rPr>
              <w:t>.</w:t>
            </w:r>
          </w:p>
        </w:tc>
      </w:tr>
    </w:tbl>
    <w:p w:rsidR="00E904AA" w:rsidRPr="00F208BD" w:rsidRDefault="00E904AA" w:rsidP="00E904AA">
      <w:pPr>
        <w:rPr>
          <w:color w:val="auto"/>
          <w:sz w:val="2"/>
          <w:szCs w:val="2"/>
        </w:rPr>
      </w:pPr>
    </w:p>
    <w:p w:rsidR="009A542C" w:rsidRDefault="009A542C"/>
    <w:sectPr w:rsidR="009A542C" w:rsidSect="0069632A">
      <w:footerReference w:type="even" r:id="rId4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B1" w:rsidRDefault="00E904AA" w:rsidP="001665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0B1" w:rsidRDefault="00E904AA" w:rsidP="0023362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A"/>
    <w:rsid w:val="009A542C"/>
    <w:rsid w:val="00E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D0D"/>
  <w15:chartTrackingRefBased/>
  <w15:docId w15:val="{A500B9A5-6CC1-4A0F-9AB8-86071E00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4A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4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4A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5">
    <w:name w:val="page number"/>
    <w:basedOn w:val="a0"/>
    <w:rsid w:val="00E9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2024-08-13T06:42:00Z</dcterms:created>
  <dcterms:modified xsi:type="dcterms:W3CDTF">2024-08-13T06:43:00Z</dcterms:modified>
</cp:coreProperties>
</file>