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97" w:rsidRPr="00E77AC9" w:rsidRDefault="00374E97" w:rsidP="00374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7AC9">
        <w:rPr>
          <w:rFonts w:ascii="Times New Roman" w:eastAsia="Calibri" w:hAnsi="Times New Roman" w:cs="Times New Roman"/>
          <w:b/>
          <w:sz w:val="27"/>
          <w:szCs w:val="27"/>
        </w:rPr>
        <w:t xml:space="preserve">Сравнительная таблица </w:t>
      </w:r>
    </w:p>
    <w:p w:rsidR="00374E97" w:rsidRPr="00E77AC9" w:rsidRDefault="00374E97" w:rsidP="00374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7AC9">
        <w:rPr>
          <w:rFonts w:ascii="Times New Roman" w:eastAsia="Calibri" w:hAnsi="Times New Roman" w:cs="Times New Roman"/>
          <w:b/>
          <w:sz w:val="27"/>
          <w:szCs w:val="27"/>
        </w:rPr>
        <w:t xml:space="preserve">к проекту закона Приднестровской Молдавской Республики </w:t>
      </w:r>
    </w:p>
    <w:p w:rsidR="00374E97" w:rsidRPr="00E77AC9" w:rsidRDefault="00374E97" w:rsidP="00374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77AC9">
        <w:rPr>
          <w:rFonts w:ascii="Times New Roman" w:eastAsia="Calibri" w:hAnsi="Times New Roman" w:cs="Times New Roman"/>
          <w:b/>
          <w:sz w:val="27"/>
          <w:szCs w:val="27"/>
        </w:rPr>
        <w:t>«О внесении изменения в Закон Приднестровской Молдавской Республики «О налоге на доходы организаций»</w:t>
      </w:r>
    </w:p>
    <w:tbl>
      <w:tblPr>
        <w:tblStyle w:val="a3"/>
        <w:tblW w:w="10847" w:type="dxa"/>
        <w:tblInd w:w="-1157" w:type="dxa"/>
        <w:tblLook w:val="04A0" w:firstRow="1" w:lastRow="0" w:firstColumn="1" w:lastColumn="0" w:noHBand="0" w:noVBand="1"/>
      </w:tblPr>
      <w:tblGrid>
        <w:gridCol w:w="5405"/>
        <w:gridCol w:w="5442"/>
      </w:tblGrid>
      <w:tr w:rsidR="00374E97" w:rsidRPr="00E77AC9" w:rsidTr="001868D7">
        <w:trPr>
          <w:trHeight w:val="420"/>
        </w:trPr>
        <w:tc>
          <w:tcPr>
            <w:tcW w:w="5405" w:type="dxa"/>
          </w:tcPr>
          <w:p w:rsidR="00374E97" w:rsidRPr="00E77AC9" w:rsidRDefault="00374E97" w:rsidP="001868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E77AC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Действующая редакция </w:t>
            </w:r>
          </w:p>
        </w:tc>
        <w:tc>
          <w:tcPr>
            <w:tcW w:w="5442" w:type="dxa"/>
          </w:tcPr>
          <w:p w:rsidR="00374E97" w:rsidRPr="00E77AC9" w:rsidRDefault="00374E97" w:rsidP="001868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E77AC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Предлагаемая редакция</w:t>
            </w:r>
          </w:p>
        </w:tc>
      </w:tr>
      <w:tr w:rsidR="00374E97" w:rsidRPr="00E77AC9" w:rsidTr="001868D7">
        <w:trPr>
          <w:trHeight w:val="305"/>
        </w:trPr>
        <w:tc>
          <w:tcPr>
            <w:tcW w:w="5405" w:type="dxa"/>
          </w:tcPr>
          <w:p w:rsidR="00374E97" w:rsidRPr="00E77AC9" w:rsidRDefault="00374E97" w:rsidP="001868D7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E77AC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Статья 11. Переходные положения </w:t>
            </w:r>
          </w:p>
          <w:p w:rsidR="00374E97" w:rsidRPr="00E77AC9" w:rsidRDefault="00374E97" w:rsidP="001868D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Части четырнадцатая–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пятнадц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атая:</w:t>
            </w:r>
          </w:p>
          <w:p w:rsidR="00374E97" w:rsidRPr="00E77AC9" w:rsidRDefault="00374E97" w:rsidP="001868D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«На период с 1 января 2019 года по 31 декабря </w:t>
            </w:r>
            <w:r w:rsidRPr="00D32A9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  <w:t xml:space="preserve">2024 </w:t>
            </w:r>
            <w:r w:rsidRPr="00491B3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года для организаций здравоохранения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 и социального обеспечения, относящихся к санаторно-курортным учреждениям, выручка от реализации по основному виду деятельности облагается по ставке, установленной настоящим Законом, с учетом коэффициента 0,4.</w:t>
            </w:r>
          </w:p>
          <w:p w:rsidR="00374E97" w:rsidRPr="00E77AC9" w:rsidRDefault="00374E97" w:rsidP="001868D7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Для получения льготы, указанной в части четырнадцатой настоящей статьи, организации обязаны, в случае если после формирования обязательных резервных фондов, установленных действующим законодательством Приднестровской Молдавской Республики, за 2019, 2020, 2021, 2022, 2023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, 2024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 годы образуется чистая прибыль, реинвестировать ее в размере не менее 95 процентов в капитальные вложения (строительство и ремонт зданий и сооружений, приобретение и модернизация оборудования).</w:t>
            </w:r>
          </w:p>
          <w:p w:rsidR="00374E97" w:rsidRPr="00E77AC9" w:rsidRDefault="00374E97" w:rsidP="001868D7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</w:pPr>
          </w:p>
        </w:tc>
        <w:tc>
          <w:tcPr>
            <w:tcW w:w="5442" w:type="dxa"/>
          </w:tcPr>
          <w:p w:rsidR="00374E97" w:rsidRPr="00E77AC9" w:rsidRDefault="00374E97" w:rsidP="001868D7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E77AC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Статья 11. Переходные положения </w:t>
            </w:r>
          </w:p>
          <w:p w:rsidR="00374E97" w:rsidRPr="00E77AC9" w:rsidRDefault="00374E97" w:rsidP="001868D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Части четырнадцатая–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пятна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дцатая:</w:t>
            </w:r>
          </w:p>
          <w:p w:rsidR="00374E97" w:rsidRPr="00E77AC9" w:rsidRDefault="00374E97" w:rsidP="001868D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«На период с 1 января 2019 года по 31 декабря </w:t>
            </w:r>
            <w:r w:rsidRPr="00E77AC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  <w:t>5</w:t>
            </w:r>
            <w:r w:rsidRPr="00E77AC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  <w:t xml:space="preserve"> </w:t>
            </w:r>
            <w:r w:rsidRPr="00491B3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года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 для организаций здравоохранения и социального обеспечения, относящихся к санаторно-курортным учреждениям, выручка от реализации по основному виду деятельности облагается по ставке, установленной настоящим Законом, с учетом коэффициента 0,4.</w:t>
            </w:r>
          </w:p>
          <w:p w:rsidR="00374E97" w:rsidRPr="00E77AC9" w:rsidRDefault="00374E97" w:rsidP="001868D7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</w:pP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Для получения льготы, указанной в части четырнадцатой настоящей статьи, организации обязаны, в случае если после формирования обязательных резервных фондов, установленных действующим законодательством Приднестровской Молдавской Республики, за 2019, 2020, 2021, 2022, 2023, </w:t>
            </w:r>
            <w:r w:rsidRPr="00D32A9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>2024,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eastAsia="x-none"/>
              </w:rPr>
              <w:t xml:space="preserve"> 2025</w:t>
            </w:r>
            <w:r w:rsidRPr="00E77AC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x-none"/>
              </w:rPr>
              <w:t xml:space="preserve"> годы образуется чистая прибыль, реинвестировать ее в размере не менее 95 процентов в капитальные вложения (строительство и ремонт зданий и сооружений, приобретение и модернизация оборудования).</w:t>
            </w:r>
          </w:p>
          <w:p w:rsidR="00374E97" w:rsidRPr="00E77AC9" w:rsidRDefault="00374E97" w:rsidP="001868D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</w:tbl>
    <w:p w:rsidR="00374E97" w:rsidRDefault="00374E97" w:rsidP="00374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E97" w:rsidRDefault="00374E97" w:rsidP="00374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E97" w:rsidRDefault="00374E97" w:rsidP="00374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E97" w:rsidRDefault="00374E97" w:rsidP="00374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79F" w:rsidRDefault="00B2679F">
      <w:bookmarkStart w:id="0" w:name="_GoBack"/>
      <w:bookmarkEnd w:id="0"/>
    </w:p>
    <w:sectPr w:rsidR="00B2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C"/>
    <w:rsid w:val="00374E97"/>
    <w:rsid w:val="007A1F4C"/>
    <w:rsid w:val="00B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F4E5-F36E-431B-8159-D0249DB3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2024-09-06T06:56:00Z</dcterms:created>
  <dcterms:modified xsi:type="dcterms:W3CDTF">2024-09-06T06:56:00Z</dcterms:modified>
</cp:coreProperties>
</file>