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566" w:rsidRPr="00DD66E2" w:rsidRDefault="002D1566" w:rsidP="002D1566">
      <w:pPr>
        <w:spacing w:after="0" w:line="240" w:lineRule="auto"/>
        <w:rPr>
          <w:rFonts w:ascii="Times New Roman" w:hAnsi="Times New Roman"/>
          <w:sz w:val="24"/>
          <w:szCs w:val="24"/>
        </w:rPr>
      </w:pPr>
    </w:p>
    <w:p w:rsidR="002D1566" w:rsidRPr="00DD66E2" w:rsidRDefault="002D1566" w:rsidP="002D1566">
      <w:pPr>
        <w:spacing w:after="0" w:line="240" w:lineRule="auto"/>
        <w:jc w:val="center"/>
        <w:rPr>
          <w:rFonts w:ascii="Times New Roman" w:hAnsi="Times New Roman"/>
          <w:b/>
          <w:sz w:val="24"/>
          <w:szCs w:val="24"/>
        </w:rPr>
      </w:pPr>
      <w:r w:rsidRPr="00DD66E2">
        <w:rPr>
          <w:rFonts w:ascii="Times New Roman" w:hAnsi="Times New Roman"/>
          <w:sz w:val="24"/>
          <w:szCs w:val="24"/>
        </w:rPr>
        <w:t>Сравнительная таблица</w:t>
      </w:r>
    </w:p>
    <w:p w:rsidR="002D1566" w:rsidRPr="00DD66E2" w:rsidRDefault="002D1566" w:rsidP="002D1566">
      <w:pPr>
        <w:pStyle w:val="41"/>
        <w:shd w:val="clear" w:color="auto" w:fill="auto"/>
        <w:spacing w:before="0" w:after="0" w:line="240" w:lineRule="auto"/>
        <w:ind w:left="220"/>
        <w:jc w:val="center"/>
        <w:rPr>
          <w:rFonts w:ascii="Times New Roman" w:hAnsi="Times New Roman"/>
          <w:sz w:val="24"/>
          <w:szCs w:val="24"/>
        </w:rPr>
      </w:pPr>
      <w:r w:rsidRPr="00DD66E2">
        <w:rPr>
          <w:rFonts w:ascii="Times New Roman" w:hAnsi="Times New Roman"/>
          <w:sz w:val="24"/>
          <w:szCs w:val="24"/>
        </w:rPr>
        <w:t>к проекту закона Приднестровской Молдавской Республики</w:t>
      </w:r>
    </w:p>
    <w:p w:rsidR="002D1566" w:rsidRPr="00DD66E2" w:rsidRDefault="002D1566" w:rsidP="002D1566">
      <w:pPr>
        <w:pStyle w:val="41"/>
        <w:shd w:val="clear" w:color="auto" w:fill="auto"/>
        <w:spacing w:before="0" w:after="0" w:line="240" w:lineRule="auto"/>
        <w:jc w:val="center"/>
        <w:rPr>
          <w:rFonts w:ascii="Times New Roman" w:hAnsi="Times New Roman"/>
          <w:sz w:val="24"/>
          <w:szCs w:val="24"/>
        </w:rPr>
      </w:pPr>
      <w:r w:rsidRPr="00DD66E2">
        <w:rPr>
          <w:rFonts w:ascii="Times New Roman" w:hAnsi="Times New Roman"/>
          <w:sz w:val="24"/>
          <w:szCs w:val="24"/>
        </w:rPr>
        <w:t>«О внесении дополнения в Закон Приднестровской Молдавской Республики</w:t>
      </w:r>
    </w:p>
    <w:p w:rsidR="002D1566" w:rsidRPr="00DD66E2" w:rsidRDefault="002D1566" w:rsidP="002D1566">
      <w:pPr>
        <w:pStyle w:val="a3"/>
        <w:ind w:firstLine="567"/>
        <w:jc w:val="center"/>
        <w:rPr>
          <w:rFonts w:ascii="Times New Roman" w:hAnsi="Times New Roman"/>
          <w:sz w:val="24"/>
          <w:szCs w:val="24"/>
        </w:rPr>
      </w:pPr>
      <w:r w:rsidRPr="00DD66E2">
        <w:rPr>
          <w:rFonts w:ascii="Times New Roman" w:hAnsi="Times New Roman"/>
          <w:sz w:val="24"/>
          <w:szCs w:val="24"/>
        </w:rPr>
        <w:t xml:space="preserve">«О </w:t>
      </w:r>
      <w:r w:rsidRPr="00DD66E2">
        <w:rPr>
          <w:rFonts w:ascii="Times New Roman" w:hAnsi="Times New Roman"/>
          <w:color w:val="000000"/>
          <w:sz w:val="24"/>
          <w:szCs w:val="24"/>
        </w:rPr>
        <w:t>едином социальном налоге и обязательном страховом взносе</w:t>
      </w:r>
      <w:r w:rsidRPr="00DD66E2">
        <w:rPr>
          <w:rFonts w:ascii="Times New Roman" w:hAnsi="Times New Roman"/>
          <w:sz w:val="24"/>
          <w:szCs w:val="24"/>
        </w:rPr>
        <w:t>»</w:t>
      </w:r>
    </w:p>
    <w:p w:rsidR="002D1566" w:rsidRPr="00DD66E2" w:rsidRDefault="002D1566" w:rsidP="002D1566">
      <w:pPr>
        <w:pStyle w:val="a3"/>
        <w:ind w:firstLine="567"/>
        <w:jc w:val="both"/>
        <w:rPr>
          <w:rFonts w:ascii="Times New Roman" w:hAnsi="Times New Roman"/>
          <w:sz w:val="24"/>
          <w:szCs w:val="24"/>
        </w:rPr>
      </w:pPr>
    </w:p>
    <w:tbl>
      <w:tblPr>
        <w:tblStyle w:val="a5"/>
        <w:tblW w:w="9747" w:type="dxa"/>
        <w:tblLook w:val="04A0" w:firstRow="1" w:lastRow="0" w:firstColumn="1" w:lastColumn="0" w:noHBand="0" w:noVBand="1"/>
      </w:tblPr>
      <w:tblGrid>
        <w:gridCol w:w="4644"/>
        <w:gridCol w:w="5103"/>
      </w:tblGrid>
      <w:tr w:rsidR="002D1566" w:rsidRPr="00DD66E2" w:rsidTr="003C6373">
        <w:tc>
          <w:tcPr>
            <w:tcW w:w="4644" w:type="dxa"/>
          </w:tcPr>
          <w:p w:rsidR="002D1566" w:rsidRPr="00DD66E2" w:rsidRDefault="002D1566" w:rsidP="003C6373">
            <w:pPr>
              <w:pStyle w:val="a3"/>
              <w:jc w:val="center"/>
              <w:rPr>
                <w:rFonts w:ascii="Times New Roman" w:hAnsi="Times New Roman"/>
                <w:sz w:val="24"/>
                <w:szCs w:val="24"/>
                <w:shd w:val="clear" w:color="auto" w:fill="FFFFFF"/>
              </w:rPr>
            </w:pPr>
            <w:r w:rsidRPr="00DD66E2">
              <w:rPr>
                <w:rFonts w:ascii="Times New Roman" w:hAnsi="Times New Roman"/>
                <w:sz w:val="24"/>
                <w:szCs w:val="24"/>
              </w:rPr>
              <w:t>Действующая редакция</w:t>
            </w:r>
          </w:p>
        </w:tc>
        <w:tc>
          <w:tcPr>
            <w:tcW w:w="5103" w:type="dxa"/>
          </w:tcPr>
          <w:p w:rsidR="002D1566" w:rsidRPr="00DD66E2" w:rsidRDefault="002D1566" w:rsidP="003C6373">
            <w:pPr>
              <w:pStyle w:val="a3"/>
              <w:jc w:val="center"/>
              <w:rPr>
                <w:rFonts w:ascii="Times New Roman" w:hAnsi="Times New Roman"/>
                <w:sz w:val="24"/>
                <w:szCs w:val="24"/>
                <w:shd w:val="clear" w:color="auto" w:fill="FFFFFF"/>
              </w:rPr>
            </w:pPr>
            <w:r w:rsidRPr="00DD66E2">
              <w:rPr>
                <w:rFonts w:ascii="Times New Roman" w:hAnsi="Times New Roman"/>
                <w:sz w:val="24"/>
                <w:szCs w:val="24"/>
              </w:rPr>
              <w:t>Предлагаемая редакция</w:t>
            </w:r>
          </w:p>
        </w:tc>
      </w:tr>
      <w:tr w:rsidR="002D1566" w:rsidRPr="00DD66E2" w:rsidTr="003C6373">
        <w:tc>
          <w:tcPr>
            <w:tcW w:w="4644" w:type="dxa"/>
          </w:tcPr>
          <w:p w:rsidR="002D1566" w:rsidRPr="00DD66E2" w:rsidRDefault="002D1566" w:rsidP="003C6373">
            <w:pPr>
              <w:pStyle w:val="a3"/>
              <w:ind w:firstLine="708"/>
              <w:jc w:val="both"/>
              <w:outlineLvl w:val="0"/>
              <w:rPr>
                <w:rFonts w:ascii="Times New Roman" w:hAnsi="Times New Roman"/>
                <w:sz w:val="24"/>
                <w:szCs w:val="24"/>
              </w:rPr>
            </w:pPr>
            <w:r w:rsidRPr="00DD66E2">
              <w:rPr>
                <w:rFonts w:ascii="Times New Roman" w:hAnsi="Times New Roman"/>
                <w:b/>
                <w:sz w:val="24"/>
                <w:szCs w:val="24"/>
              </w:rPr>
              <w:t>Статья 7.</w:t>
            </w:r>
            <w:r w:rsidRPr="00DD66E2">
              <w:rPr>
                <w:rFonts w:ascii="Times New Roman" w:hAnsi="Times New Roman"/>
                <w:sz w:val="24"/>
                <w:szCs w:val="24"/>
              </w:rPr>
              <w:t xml:space="preserve"> </w:t>
            </w:r>
          </w:p>
          <w:p w:rsidR="002D1566" w:rsidRPr="00DD66E2" w:rsidRDefault="002D1566" w:rsidP="003C6373">
            <w:pPr>
              <w:ind w:firstLine="708"/>
              <w:jc w:val="both"/>
              <w:rPr>
                <w:rFonts w:ascii="Times New Roman" w:eastAsia="Times New Roman" w:hAnsi="Times New Roman" w:cs="Times New Roman"/>
                <w:sz w:val="24"/>
                <w:szCs w:val="24"/>
              </w:rPr>
            </w:pPr>
            <w:r w:rsidRPr="00DD66E2">
              <w:rPr>
                <w:rFonts w:ascii="Times New Roman" w:eastAsia="Times New Roman" w:hAnsi="Times New Roman" w:cs="Times New Roman"/>
                <w:sz w:val="24"/>
                <w:szCs w:val="24"/>
              </w:rPr>
              <w:t>Установить ставки единого социального налога:</w:t>
            </w:r>
          </w:p>
          <w:p w:rsidR="002D1566" w:rsidRPr="00DD66E2" w:rsidRDefault="002D1566" w:rsidP="003C6373">
            <w:pPr>
              <w:ind w:firstLine="142"/>
              <w:jc w:val="both"/>
              <w:rPr>
                <w:rFonts w:ascii="Times New Roman" w:hAnsi="Times New Roman" w:cs="Times New Roman"/>
                <w:b/>
                <w:sz w:val="24"/>
                <w:szCs w:val="24"/>
                <w:shd w:val="clear" w:color="auto" w:fill="FFFFFF"/>
              </w:rPr>
            </w:pPr>
            <w:r w:rsidRPr="00DD66E2">
              <w:rPr>
                <w:rFonts w:ascii="Times New Roman" w:hAnsi="Times New Roman" w:cs="Times New Roman"/>
                <w:b/>
                <w:sz w:val="24"/>
                <w:szCs w:val="24"/>
                <w:shd w:val="clear" w:color="auto" w:fill="FFFFFF"/>
              </w:rPr>
              <w:t>…</w:t>
            </w:r>
          </w:p>
          <w:p w:rsidR="002D1566" w:rsidRPr="00DD66E2" w:rsidRDefault="002D1566" w:rsidP="003C6373">
            <w:pPr>
              <w:ind w:firstLine="709"/>
              <w:jc w:val="both"/>
              <w:rPr>
                <w:rFonts w:ascii="Times New Roman" w:hAnsi="Times New Roman"/>
                <w:b/>
                <w:sz w:val="24"/>
                <w:szCs w:val="24"/>
                <w:shd w:val="clear" w:color="auto" w:fill="FFFFFF"/>
              </w:rPr>
            </w:pPr>
            <w:r w:rsidRPr="00DD66E2">
              <w:rPr>
                <w:rFonts w:ascii="Times New Roman" w:eastAsia="Times New Roman" w:hAnsi="Times New Roman" w:cs="Times New Roman"/>
                <w:sz w:val="24"/>
                <w:szCs w:val="24"/>
              </w:rPr>
              <w:t xml:space="preserve">20. В размере 24 процентов выплат, начисленных в пользу каждого отдельного работника и иного физического лица в Единый государственный фонд социального страхования Приднестровской Молдавской Республики, для организаций, у которых доля выручки </w:t>
            </w:r>
            <w:r w:rsidRPr="00DD66E2">
              <w:rPr>
                <w:rFonts w:ascii="Times New Roman" w:eastAsia="Times New Roman" w:hAnsi="Times New Roman" w:cs="Times New Roman"/>
                <w:bCs/>
                <w:sz w:val="24"/>
                <w:szCs w:val="24"/>
              </w:rPr>
              <w:t>от осуществления деятельности в сфере промышленного производства</w:t>
            </w:r>
            <w:r w:rsidRPr="00DD66E2">
              <w:rPr>
                <w:rFonts w:ascii="Times New Roman" w:eastAsia="Times New Roman" w:hAnsi="Times New Roman" w:cs="Times New Roman"/>
                <w:sz w:val="24"/>
                <w:szCs w:val="24"/>
              </w:rPr>
              <w:t xml:space="preserve"> в общей сумме дохода, полученного от реализации продукции (товаров, работ, услуг), за предшествующий финансовый год составляет не менее 70 процентов.</w:t>
            </w:r>
          </w:p>
        </w:tc>
        <w:tc>
          <w:tcPr>
            <w:tcW w:w="5103" w:type="dxa"/>
          </w:tcPr>
          <w:p w:rsidR="002D1566" w:rsidRPr="00DD66E2" w:rsidRDefault="002D1566" w:rsidP="003C6373">
            <w:pPr>
              <w:pStyle w:val="a3"/>
              <w:ind w:firstLine="708"/>
              <w:jc w:val="both"/>
              <w:outlineLvl w:val="0"/>
              <w:rPr>
                <w:rFonts w:ascii="Times New Roman" w:hAnsi="Times New Roman"/>
                <w:sz w:val="24"/>
                <w:szCs w:val="24"/>
              </w:rPr>
            </w:pPr>
            <w:r w:rsidRPr="00DD66E2">
              <w:rPr>
                <w:rFonts w:ascii="Times New Roman" w:hAnsi="Times New Roman"/>
                <w:b/>
                <w:sz w:val="24"/>
                <w:szCs w:val="24"/>
              </w:rPr>
              <w:t>Статья 7.</w:t>
            </w:r>
            <w:r w:rsidRPr="00DD66E2">
              <w:rPr>
                <w:rFonts w:ascii="Times New Roman" w:hAnsi="Times New Roman"/>
                <w:sz w:val="24"/>
                <w:szCs w:val="24"/>
              </w:rPr>
              <w:t xml:space="preserve"> </w:t>
            </w:r>
          </w:p>
          <w:p w:rsidR="002D1566" w:rsidRPr="00DD66E2" w:rsidRDefault="002D1566" w:rsidP="003C6373">
            <w:pPr>
              <w:ind w:firstLine="708"/>
              <w:jc w:val="both"/>
              <w:rPr>
                <w:rFonts w:ascii="Times New Roman" w:eastAsia="Times New Roman" w:hAnsi="Times New Roman" w:cs="Times New Roman"/>
                <w:sz w:val="24"/>
                <w:szCs w:val="24"/>
              </w:rPr>
            </w:pPr>
            <w:r w:rsidRPr="00DD66E2">
              <w:rPr>
                <w:rFonts w:ascii="Times New Roman" w:eastAsia="Times New Roman" w:hAnsi="Times New Roman" w:cs="Times New Roman"/>
                <w:sz w:val="24"/>
                <w:szCs w:val="24"/>
              </w:rPr>
              <w:t>Установить ставки единого социального налога:</w:t>
            </w:r>
          </w:p>
          <w:p w:rsidR="002D1566" w:rsidRPr="00DD66E2" w:rsidRDefault="002D1566" w:rsidP="003C6373">
            <w:pPr>
              <w:ind w:firstLine="142"/>
              <w:jc w:val="both"/>
              <w:rPr>
                <w:rFonts w:ascii="Times New Roman" w:hAnsi="Times New Roman" w:cs="Times New Roman"/>
                <w:b/>
                <w:sz w:val="24"/>
                <w:szCs w:val="24"/>
                <w:shd w:val="clear" w:color="auto" w:fill="FFFFFF"/>
              </w:rPr>
            </w:pPr>
            <w:r w:rsidRPr="00DD66E2">
              <w:rPr>
                <w:rFonts w:ascii="Times New Roman" w:hAnsi="Times New Roman" w:cs="Times New Roman"/>
                <w:b/>
                <w:sz w:val="24"/>
                <w:szCs w:val="24"/>
                <w:shd w:val="clear" w:color="auto" w:fill="FFFFFF"/>
              </w:rPr>
              <w:t>…</w:t>
            </w:r>
          </w:p>
          <w:p w:rsidR="002D1566" w:rsidRPr="00DD66E2" w:rsidRDefault="002D1566" w:rsidP="003C6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shd w:val="clear" w:color="auto" w:fill="FFFFFF"/>
              </w:rPr>
            </w:pPr>
            <w:r w:rsidRPr="00DD66E2">
              <w:rPr>
                <w:rFonts w:ascii="Times New Roman" w:hAnsi="Times New Roman"/>
                <w:sz w:val="24"/>
                <w:szCs w:val="24"/>
              </w:rPr>
              <w:t xml:space="preserve">20. В размере 24 процентов выплат, начисленных в пользу каждого отдельного работника и иного физического лица в Единый государственный фонд социального страхования Приднестровской Молдавской Республики, для  организаций, </w:t>
            </w:r>
            <w:r w:rsidRPr="00DD66E2">
              <w:rPr>
                <w:rFonts w:ascii="Times New Roman" w:eastAsia="Times New Roman" w:hAnsi="Times New Roman" w:cs="Times New Roman"/>
                <w:sz w:val="24"/>
                <w:szCs w:val="24"/>
              </w:rPr>
              <w:t xml:space="preserve">у которых доля выручки </w:t>
            </w:r>
            <w:r w:rsidRPr="00DD66E2">
              <w:rPr>
                <w:rFonts w:ascii="Times New Roman" w:eastAsia="Times New Roman" w:hAnsi="Times New Roman" w:cs="Times New Roman"/>
                <w:bCs/>
                <w:sz w:val="24"/>
                <w:szCs w:val="24"/>
              </w:rPr>
              <w:t>от осуществления деятельности в сфере промышленного производства</w:t>
            </w:r>
            <w:r w:rsidRPr="00DD66E2">
              <w:rPr>
                <w:rFonts w:ascii="Times New Roman" w:eastAsia="Times New Roman" w:hAnsi="Times New Roman" w:cs="Times New Roman"/>
                <w:sz w:val="24"/>
                <w:szCs w:val="24"/>
              </w:rPr>
              <w:t xml:space="preserve"> в общей сумме дохода, полученного от реализации продукции (товаров, работ, услуг), за предшествующий финансовый </w:t>
            </w:r>
            <w:r w:rsidRPr="00250C77">
              <w:rPr>
                <w:rFonts w:ascii="Times New Roman" w:eastAsia="Times New Roman" w:hAnsi="Times New Roman" w:cs="Times New Roman"/>
                <w:sz w:val="24"/>
                <w:szCs w:val="24"/>
              </w:rPr>
              <w:t>год составляет не менее 70 процентов</w:t>
            </w:r>
            <w:r w:rsidRPr="00250C77">
              <w:rPr>
                <w:rFonts w:ascii="Times New Roman" w:hAnsi="Times New Roman"/>
                <w:b/>
                <w:bCs/>
                <w:sz w:val="24"/>
                <w:szCs w:val="24"/>
              </w:rPr>
              <w:t xml:space="preserve">, а также для </w:t>
            </w:r>
            <w:bookmarkStart w:id="0" w:name="_Hlk171085402"/>
            <w:r w:rsidRPr="00250C77">
              <w:rPr>
                <w:rFonts w:ascii="Times New Roman" w:hAnsi="Times New Roman"/>
                <w:b/>
                <w:bCs/>
                <w:sz w:val="24"/>
                <w:szCs w:val="24"/>
              </w:rPr>
              <w:t xml:space="preserve">организаций – </w:t>
            </w:r>
            <w:r w:rsidRPr="00250C77">
              <w:rPr>
                <w:rFonts w:ascii="Times New Roman" w:eastAsia="Times New Roman" w:hAnsi="Times New Roman" w:cs="Times New Roman"/>
                <w:b/>
                <w:bCs/>
                <w:sz w:val="24"/>
                <w:szCs w:val="24"/>
              </w:rPr>
              <w:t xml:space="preserve">субъектов </w:t>
            </w:r>
            <w:r w:rsidRPr="00250C77">
              <w:rPr>
                <w:rFonts w:ascii="Times New Roman" w:hAnsi="Times New Roman"/>
                <w:b/>
                <w:sz w:val="24"/>
                <w:szCs w:val="24"/>
              </w:rPr>
              <w:t>естественных монополий</w:t>
            </w:r>
            <w:r w:rsidRPr="00250C77">
              <w:rPr>
                <w:rFonts w:ascii="Times New Roman" w:eastAsia="Times New Roman" w:hAnsi="Times New Roman" w:cs="Times New Roman"/>
                <w:b/>
                <w:bCs/>
                <w:sz w:val="24"/>
                <w:szCs w:val="24"/>
              </w:rPr>
              <w:t xml:space="preserve">, оказывающих потребителям коммунальные услуги  по газоснабжению, теплоснабжению, водоснабжению и   водоотведению, </w:t>
            </w:r>
            <w:r w:rsidRPr="00250C77">
              <w:rPr>
                <w:rFonts w:ascii="Times New Roman" w:hAnsi="Times New Roman"/>
                <w:b/>
                <w:bCs/>
                <w:sz w:val="24"/>
                <w:szCs w:val="24"/>
              </w:rPr>
              <w:t>у которых доля выручки</w:t>
            </w:r>
            <w:r w:rsidRPr="00250C77">
              <w:rPr>
                <w:rFonts w:ascii="Times New Roman" w:eastAsia="Calibri" w:hAnsi="Times New Roman" w:cs="Times New Roman"/>
                <w:b/>
                <w:bCs/>
                <w:sz w:val="24"/>
                <w:szCs w:val="24"/>
              </w:rPr>
              <w:t xml:space="preserve"> по видам деятельности: газоснабжение </w:t>
            </w:r>
            <w:r w:rsidRPr="00DD66E2">
              <w:rPr>
                <w:rFonts w:ascii="Times New Roman" w:eastAsia="Calibri" w:hAnsi="Times New Roman" w:cs="Times New Roman"/>
                <w:b/>
                <w:bCs/>
                <w:sz w:val="24"/>
                <w:szCs w:val="24"/>
              </w:rPr>
              <w:t xml:space="preserve">и транспортировка газа, теплоснабжение, жилищное хозяйство, коммунальное </w:t>
            </w:r>
            <w:r w:rsidRPr="00046A50">
              <w:rPr>
                <w:rFonts w:ascii="Times New Roman" w:eastAsia="Calibri" w:hAnsi="Times New Roman" w:cs="Times New Roman"/>
                <w:b/>
                <w:bCs/>
                <w:sz w:val="24"/>
                <w:szCs w:val="24"/>
              </w:rPr>
              <w:t xml:space="preserve">хозяйство - </w:t>
            </w:r>
            <w:r w:rsidRPr="00046A50">
              <w:rPr>
                <w:rFonts w:ascii="Times New Roman" w:hAnsi="Times New Roman"/>
                <w:b/>
                <w:bCs/>
                <w:sz w:val="24"/>
                <w:szCs w:val="24"/>
              </w:rPr>
              <w:t xml:space="preserve">в общей сумме дохода, полученного от реализации продукции (товаров, работ, услуг), за предшествующий финансовый </w:t>
            </w:r>
            <w:r w:rsidRPr="003C0D54">
              <w:rPr>
                <w:rFonts w:ascii="Times New Roman" w:hAnsi="Times New Roman"/>
                <w:b/>
                <w:bCs/>
                <w:sz w:val="24"/>
                <w:szCs w:val="24"/>
              </w:rPr>
              <w:t xml:space="preserve">год составляет не менее 70 процентов, </w:t>
            </w:r>
            <w:r w:rsidRPr="003C0D54">
              <w:rPr>
                <w:rFonts w:ascii="Times New Roman" w:hAnsi="Times New Roman"/>
                <w:b/>
                <w:sz w:val="24"/>
                <w:szCs w:val="24"/>
              </w:rPr>
              <w:t>и организации – субъекта естественной монополии, оказывающего услуги централизованного водоснабжения на цели орошения государственной</w:t>
            </w:r>
            <w:r w:rsidRPr="009426F0">
              <w:rPr>
                <w:rFonts w:ascii="Times New Roman" w:hAnsi="Times New Roman"/>
                <w:b/>
                <w:sz w:val="24"/>
                <w:szCs w:val="24"/>
              </w:rPr>
              <w:t xml:space="preserve"> мелиоративной системой</w:t>
            </w:r>
            <w:r w:rsidRPr="009426F0">
              <w:rPr>
                <w:rFonts w:ascii="Times New Roman" w:eastAsia="Times New Roman" w:hAnsi="Times New Roman" w:cs="Times New Roman"/>
                <w:b/>
                <w:sz w:val="24"/>
                <w:szCs w:val="24"/>
              </w:rPr>
              <w:t xml:space="preserve">, </w:t>
            </w:r>
            <w:r w:rsidRPr="009426F0">
              <w:rPr>
                <w:rFonts w:ascii="Times New Roman" w:hAnsi="Times New Roman"/>
                <w:b/>
                <w:sz w:val="24"/>
                <w:szCs w:val="24"/>
              </w:rPr>
              <w:t>у которой доля выручки</w:t>
            </w:r>
            <w:r w:rsidRPr="009426F0">
              <w:rPr>
                <w:rFonts w:ascii="Times New Roman" w:eastAsia="Calibri" w:hAnsi="Times New Roman" w:cs="Times New Roman"/>
                <w:b/>
                <w:sz w:val="24"/>
                <w:szCs w:val="24"/>
              </w:rPr>
              <w:t xml:space="preserve"> по</w:t>
            </w:r>
            <w:r w:rsidRPr="009426F0">
              <w:rPr>
                <w:rFonts w:ascii="Times New Roman" w:hAnsi="Times New Roman"/>
                <w:b/>
                <w:sz w:val="24"/>
                <w:szCs w:val="24"/>
              </w:rPr>
              <w:t xml:space="preserve"> виду деятельности: централизованного водоснабжения на цели орошения государственной мелиоративной системой –</w:t>
            </w:r>
            <w:r w:rsidRPr="009426F0">
              <w:rPr>
                <w:rFonts w:ascii="Times New Roman" w:eastAsia="Calibri" w:hAnsi="Times New Roman" w:cs="Times New Roman"/>
                <w:b/>
                <w:sz w:val="24"/>
                <w:szCs w:val="24"/>
              </w:rPr>
              <w:t xml:space="preserve"> </w:t>
            </w:r>
            <w:r w:rsidRPr="009426F0">
              <w:rPr>
                <w:rFonts w:ascii="Times New Roman" w:hAnsi="Times New Roman"/>
                <w:b/>
                <w:sz w:val="24"/>
                <w:szCs w:val="24"/>
              </w:rPr>
              <w:t xml:space="preserve">в общей сумме дохода, полученного от реализации продукции </w:t>
            </w:r>
            <w:r w:rsidRPr="009426F0">
              <w:rPr>
                <w:rFonts w:ascii="Times New Roman" w:hAnsi="Times New Roman"/>
                <w:b/>
                <w:sz w:val="24"/>
                <w:szCs w:val="24"/>
              </w:rPr>
              <w:lastRenderedPageBreak/>
              <w:t>(товаров, работ, услуг), за предшествующий финансовый год составляет не менее 70 процентов</w:t>
            </w:r>
            <w:r w:rsidRPr="00046A50">
              <w:rPr>
                <w:rFonts w:ascii="Times New Roman" w:hAnsi="Times New Roman"/>
                <w:b/>
                <w:bCs/>
                <w:sz w:val="24"/>
                <w:szCs w:val="24"/>
              </w:rPr>
              <w:t>.</w:t>
            </w:r>
            <w:bookmarkEnd w:id="0"/>
          </w:p>
        </w:tc>
      </w:tr>
    </w:tbl>
    <w:p w:rsidR="002D1566" w:rsidRPr="00DD66E2" w:rsidRDefault="002D1566" w:rsidP="002D1566">
      <w:pPr>
        <w:spacing w:after="0" w:line="240" w:lineRule="auto"/>
        <w:jc w:val="center"/>
        <w:rPr>
          <w:sz w:val="24"/>
          <w:szCs w:val="24"/>
        </w:rPr>
      </w:pPr>
    </w:p>
    <w:p w:rsidR="00D93029" w:rsidRDefault="002D1566">
      <w:bookmarkStart w:id="1" w:name="_GoBack"/>
      <w:bookmarkEnd w:id="1"/>
    </w:p>
    <w:sectPr w:rsidR="00D93029" w:rsidSect="00DD66E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66"/>
    <w:rsid w:val="001177C4"/>
    <w:rsid w:val="002D1566"/>
    <w:rsid w:val="0057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C9C88-23F8-401B-B07C-CE4A2F2B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56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1"/>
    <w:rsid w:val="002D1566"/>
    <w:rPr>
      <w:rFonts w:ascii="Calibri" w:eastAsia="Calibri" w:hAnsi="Calibri" w:cs="Times New Roman"/>
      <w:sz w:val="26"/>
      <w:szCs w:val="26"/>
      <w:shd w:val="clear" w:color="auto" w:fill="FFFFFF"/>
    </w:rPr>
  </w:style>
  <w:style w:type="paragraph" w:customStyle="1" w:styleId="41">
    <w:name w:val="Основной текст (4)1"/>
    <w:basedOn w:val="a"/>
    <w:link w:val="4"/>
    <w:rsid w:val="002D1566"/>
    <w:pPr>
      <w:shd w:val="clear" w:color="auto" w:fill="FFFFFF"/>
      <w:spacing w:before="720" w:after="360" w:line="240" w:lineRule="atLeast"/>
    </w:pPr>
    <w:rPr>
      <w:rFonts w:ascii="Calibri" w:eastAsia="Calibri" w:hAnsi="Calibri" w:cs="Times New Roman"/>
      <w:sz w:val="26"/>
      <w:szCs w:val="26"/>
      <w:lang w:eastAsia="en-US"/>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a4"/>
    <w:rsid w:val="002D1566"/>
    <w:pPr>
      <w:spacing w:after="0" w:line="240" w:lineRule="auto"/>
    </w:pPr>
    <w:rPr>
      <w:rFonts w:ascii="Courier New" w:eastAsia="Times New Roman" w:hAnsi="Courier New" w:cs="Times New Roman"/>
      <w:sz w:val="20"/>
      <w:szCs w:val="20"/>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2D1566"/>
    <w:rPr>
      <w:rFonts w:ascii="Courier New" w:eastAsia="Times New Roman" w:hAnsi="Courier New" w:cs="Times New Roman"/>
      <w:sz w:val="20"/>
      <w:szCs w:val="20"/>
      <w:lang w:eastAsia="ru-RU"/>
    </w:rPr>
  </w:style>
  <w:style w:type="table" w:styleId="a5">
    <w:name w:val="Table Grid"/>
    <w:basedOn w:val="a1"/>
    <w:uiPriority w:val="59"/>
    <w:rsid w:val="002D156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cp:revision>
  <dcterms:created xsi:type="dcterms:W3CDTF">2024-09-24T05:42:00Z</dcterms:created>
  <dcterms:modified xsi:type="dcterms:W3CDTF">2024-09-24T05:42:00Z</dcterms:modified>
</cp:coreProperties>
</file>