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Сравнительная таблица</w:t>
      </w:r>
    </w:p>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к проекту закона Приднестровской Молдавской Республики</w:t>
      </w:r>
    </w:p>
    <w:p w:rsidR="00D400AC" w:rsidRPr="00327FAC" w:rsidRDefault="006022CC" w:rsidP="004F75A2">
      <w:pPr>
        <w:spacing w:after="0" w:line="240" w:lineRule="auto"/>
        <w:jc w:val="center"/>
        <w:rPr>
          <w:rFonts w:ascii="Times New Roman" w:eastAsia="Calibri" w:hAnsi="Times New Roman" w:cs="Times New Roman"/>
          <w:b/>
          <w:sz w:val="24"/>
          <w:szCs w:val="24"/>
        </w:rPr>
      </w:pPr>
      <w:r w:rsidRPr="00FC4269">
        <w:rPr>
          <w:rFonts w:ascii="Times New Roman" w:eastAsia="Calibri" w:hAnsi="Times New Roman" w:cs="Times New Roman"/>
          <w:b/>
          <w:sz w:val="24"/>
          <w:szCs w:val="24"/>
        </w:rPr>
        <w:t xml:space="preserve">«О внесении </w:t>
      </w:r>
      <w:r w:rsidR="005B6C1C" w:rsidRPr="00FC4269">
        <w:rPr>
          <w:rFonts w:ascii="Times New Roman" w:eastAsia="Calibri" w:hAnsi="Times New Roman" w:cs="Times New Roman"/>
          <w:b/>
          <w:sz w:val="24"/>
          <w:szCs w:val="24"/>
        </w:rPr>
        <w:t>изменени</w:t>
      </w:r>
      <w:r w:rsidR="00FC4269" w:rsidRPr="00FC4269">
        <w:rPr>
          <w:rFonts w:ascii="Times New Roman" w:eastAsia="Calibri" w:hAnsi="Times New Roman" w:cs="Times New Roman"/>
          <w:b/>
          <w:sz w:val="24"/>
          <w:szCs w:val="24"/>
        </w:rPr>
        <w:t>я</w:t>
      </w:r>
      <w:r w:rsidR="00502D21" w:rsidRPr="00FC4269">
        <w:rPr>
          <w:rFonts w:ascii="Times New Roman" w:eastAsia="Calibri" w:hAnsi="Times New Roman" w:cs="Times New Roman"/>
          <w:b/>
          <w:sz w:val="24"/>
          <w:szCs w:val="24"/>
        </w:rPr>
        <w:t xml:space="preserve"> </w:t>
      </w:r>
      <w:r w:rsidR="00FC4269" w:rsidRPr="00FC4269">
        <w:rPr>
          <w:rFonts w:ascii="Times New Roman" w:eastAsia="Calibri" w:hAnsi="Times New Roman" w:cs="Times New Roman"/>
          <w:b/>
          <w:sz w:val="24"/>
          <w:szCs w:val="24"/>
        </w:rPr>
        <w:t>в</w:t>
      </w:r>
      <w:r w:rsidR="004F75A2">
        <w:rPr>
          <w:rFonts w:ascii="Times New Roman" w:eastAsia="Calibri" w:hAnsi="Times New Roman" w:cs="Times New Roman"/>
          <w:b/>
          <w:sz w:val="24"/>
          <w:szCs w:val="24"/>
        </w:rPr>
        <w:t xml:space="preserve"> </w:t>
      </w:r>
      <w:r w:rsidR="00FC4269" w:rsidRPr="00FC4269">
        <w:rPr>
          <w:rFonts w:ascii="Times New Roman" w:eastAsia="Calibri" w:hAnsi="Times New Roman" w:cs="Times New Roman"/>
          <w:b/>
          <w:sz w:val="24"/>
          <w:szCs w:val="24"/>
        </w:rPr>
        <w:t>Закон Приднестровской Молдавской Республики «</w:t>
      </w:r>
      <w:r w:rsidR="0059137C" w:rsidRPr="0059137C">
        <w:rPr>
          <w:rFonts w:ascii="Times New Roman" w:eastAsia="Calibri" w:hAnsi="Times New Roman" w:cs="Times New Roman"/>
          <w:b/>
          <w:sz w:val="24"/>
          <w:szCs w:val="24"/>
        </w:rPr>
        <w:t>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w:t>
      </w:r>
      <w:r w:rsidR="00D400AC" w:rsidRPr="00FC4269">
        <w:rPr>
          <w:rFonts w:ascii="Times New Roman" w:eastAsia="Calibri" w:hAnsi="Times New Roman" w:cs="Times New Roman"/>
          <w:b/>
          <w:sz w:val="24"/>
          <w:szCs w:val="24"/>
        </w:rPr>
        <w:t>»</w:t>
      </w:r>
    </w:p>
    <w:tbl>
      <w:tblPr>
        <w:tblStyle w:val="6"/>
        <w:tblW w:w="0" w:type="auto"/>
        <w:tblLook w:val="04A0" w:firstRow="1" w:lastRow="0" w:firstColumn="1" w:lastColumn="0" w:noHBand="0" w:noVBand="1"/>
      </w:tblPr>
      <w:tblGrid>
        <w:gridCol w:w="4672"/>
        <w:gridCol w:w="4673"/>
      </w:tblGrid>
      <w:tr w:rsidR="000C2F9F" w:rsidRPr="00327FAC"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27FAC" w:rsidRDefault="004F75A2" w:rsidP="00432019">
            <w:pPr>
              <w:spacing w:line="240" w:lineRule="auto"/>
              <w:jc w:val="center"/>
              <w:rPr>
                <w:rFonts w:ascii="Times New Roman" w:eastAsia="Calibri" w:hAnsi="Times New Roman" w:cs="Times New Roman"/>
                <w:b/>
                <w:sz w:val="24"/>
                <w:szCs w:val="24"/>
              </w:rPr>
            </w:pPr>
            <w:r w:rsidRPr="004F75A2">
              <w:rPr>
                <w:rFonts w:ascii="Times New Roman" w:eastAsia="Calibri" w:hAnsi="Times New Roman" w:cs="Times New Roman"/>
                <w:b/>
                <w:sz w:val="24"/>
                <w:szCs w:val="24"/>
              </w:rPr>
              <w:t>Закон Приднестровской Молдавской Республики «</w:t>
            </w:r>
            <w:r w:rsidR="0059137C" w:rsidRPr="0059137C">
              <w:rPr>
                <w:rFonts w:ascii="Times New Roman" w:eastAsia="Calibri" w:hAnsi="Times New Roman" w:cs="Times New Roman"/>
                <w:b/>
                <w:sz w:val="24"/>
                <w:szCs w:val="24"/>
              </w:rPr>
              <w:t>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w:t>
            </w:r>
            <w:r w:rsidRPr="004F75A2">
              <w:rPr>
                <w:rFonts w:ascii="Times New Roman" w:eastAsia="Calibri" w:hAnsi="Times New Roman" w:cs="Times New Roman"/>
                <w:b/>
                <w:sz w:val="24"/>
                <w:szCs w:val="24"/>
              </w:rPr>
              <w:t>»</w:t>
            </w:r>
          </w:p>
        </w:tc>
      </w:tr>
      <w:tr w:rsidR="000C2F9F" w:rsidRPr="00327FAC" w:rsidTr="0059137C">
        <w:trPr>
          <w:trHeight w:val="198"/>
        </w:trPr>
        <w:tc>
          <w:tcPr>
            <w:tcW w:w="4672" w:type="dxa"/>
            <w:tcBorders>
              <w:top w:val="single" w:sz="4" w:space="0" w:color="auto"/>
              <w:left w:val="single" w:sz="4" w:space="0" w:color="auto"/>
              <w:bottom w:val="single" w:sz="4" w:space="0" w:color="auto"/>
              <w:right w:val="single" w:sz="4" w:space="0" w:color="auto"/>
            </w:tcBorders>
          </w:tcPr>
          <w:p w:rsidR="001F20FC" w:rsidRPr="00327FAC" w:rsidRDefault="00D62B27"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tcPr>
          <w:p w:rsidR="001F20FC" w:rsidRPr="00327FAC" w:rsidRDefault="00F93125"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п</w:t>
            </w:r>
            <w:r w:rsidR="009B782D" w:rsidRPr="00327FAC">
              <w:rPr>
                <w:rFonts w:ascii="Times New Roman" w:eastAsia="Calibri" w:hAnsi="Times New Roman" w:cs="Times New Roman"/>
                <w:b/>
                <w:sz w:val="24"/>
                <w:szCs w:val="24"/>
              </w:rPr>
              <w:t>редлагаемая р</w:t>
            </w:r>
            <w:r w:rsidR="0060140F" w:rsidRPr="00327FAC">
              <w:rPr>
                <w:rFonts w:ascii="Times New Roman" w:eastAsia="Calibri" w:hAnsi="Times New Roman" w:cs="Times New Roman"/>
                <w:b/>
                <w:sz w:val="24"/>
                <w:szCs w:val="24"/>
              </w:rPr>
              <w:t>едакция</w:t>
            </w:r>
          </w:p>
        </w:tc>
      </w:tr>
      <w:tr w:rsidR="0059137C" w:rsidRPr="00327FAC" w:rsidTr="0059137C">
        <w:trPr>
          <w:trHeight w:val="321"/>
        </w:trPr>
        <w:tc>
          <w:tcPr>
            <w:tcW w:w="4672" w:type="dxa"/>
            <w:tcBorders>
              <w:top w:val="single" w:sz="4" w:space="0" w:color="auto"/>
              <w:left w:val="single" w:sz="4" w:space="0" w:color="auto"/>
              <w:bottom w:val="single" w:sz="4" w:space="0" w:color="auto"/>
              <w:right w:val="single" w:sz="4" w:space="0" w:color="auto"/>
            </w:tcBorders>
          </w:tcPr>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b/>
                <w:sz w:val="24"/>
                <w:szCs w:val="24"/>
              </w:rPr>
              <w:t>Статья 3.</w:t>
            </w:r>
            <w:r w:rsidRPr="0059137C">
              <w:rPr>
                <w:rFonts w:ascii="Times New Roman" w:hAnsi="Times New Roman" w:cs="Times New Roman"/>
                <w:sz w:val="24"/>
                <w:szCs w:val="24"/>
              </w:rPr>
              <w:t xml:space="preserve"> Неприкосновенность лиц, занимавших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прекративших исполнение своих полномочий</w:t>
            </w:r>
          </w:p>
          <w:p w:rsidR="0059137C" w:rsidRPr="0059137C" w:rsidRDefault="0059137C" w:rsidP="0059137C">
            <w:pPr>
              <w:spacing w:line="240" w:lineRule="auto"/>
              <w:rPr>
                <w:rFonts w:ascii="Times New Roman" w:hAnsi="Times New Roman" w:cs="Times New Roman"/>
                <w:sz w:val="24"/>
                <w:szCs w:val="24"/>
              </w:rPr>
            </w:pP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t>1. Лица, занимавшие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прекратившие исполнение своих полномочий, обладают неприкосновенностью.</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t>2. Лица, занимавшие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прекратившие исполнение своих полномочий, не могут быть (за исключением случаев, предусмотренных настоящей статьей):</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b/>
                <w:sz w:val="24"/>
                <w:szCs w:val="24"/>
              </w:rPr>
              <w:t>а)</w:t>
            </w:r>
            <w:r w:rsidRPr="0059137C">
              <w:rPr>
                <w:rFonts w:ascii="Times New Roman" w:hAnsi="Times New Roman" w:cs="Times New Roman"/>
                <w:sz w:val="24"/>
                <w:szCs w:val="24"/>
              </w:rPr>
              <w:t xml:space="preserve"> привлечены к административной ответственности, а также ответственности в судебном порядке;</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b/>
                <w:sz w:val="24"/>
                <w:szCs w:val="24"/>
              </w:rPr>
              <w:t>б)</w:t>
            </w:r>
            <w:r w:rsidRPr="0059137C">
              <w:rPr>
                <w:rFonts w:ascii="Times New Roman" w:hAnsi="Times New Roman" w:cs="Times New Roman"/>
                <w:sz w:val="24"/>
                <w:szCs w:val="24"/>
              </w:rPr>
              <w:t xml:space="preserve"> без согласия Верховного Совета Приднестровской Молдавской Республики </w:t>
            </w:r>
            <w:r w:rsidRPr="0059137C">
              <w:rPr>
                <w:rFonts w:ascii="Times New Roman" w:hAnsi="Times New Roman" w:cs="Times New Roman"/>
                <w:b/>
                <w:sz w:val="24"/>
                <w:szCs w:val="24"/>
              </w:rPr>
              <w:t>задержаны, заключены под стражу, подвергнуты обыску, допросу, кроме случаев задержания на месте преступления,</w:t>
            </w:r>
            <w:r w:rsidRPr="0059137C">
              <w:rPr>
                <w:rFonts w:ascii="Times New Roman" w:hAnsi="Times New Roman" w:cs="Times New Roman"/>
                <w:sz w:val="24"/>
                <w:szCs w:val="24"/>
              </w:rPr>
              <w:t xml:space="preserve"> а также личному досмотру, за исключением случаев, когда это предусмотрено законами Приднестровской Молдавской Республики для обеспечения безопасности других людей.</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lastRenderedPageBreak/>
              <w:t xml:space="preserve">3. Лица, занимавшие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прекратившие исполнение своих полномочий, за исключением лиц, занимавших должности  первого  Президента Приднестровской Молдавской Республики и первого Председателя  Верховного Совета Приднестровской Молдавской Республики и прекративших исполнение своих полномочий, за деяния, совершенные ими в период исполнения полномочий Президента Приднестровской Молдавской Республики, </w:t>
            </w:r>
            <w:r w:rsidRPr="0059137C">
              <w:rPr>
                <w:rFonts w:ascii="Times New Roman" w:hAnsi="Times New Roman" w:cs="Times New Roman"/>
                <w:sz w:val="24"/>
                <w:szCs w:val="24"/>
              </w:rPr>
              <w:br/>
              <w:t>Вице-Президента Приднестровской Молдавской Республики, Председателя Верховного Совета Приднестровской Молдавской Республики, не могут без согласия Верховного Совета Приднестровской Молдавской Республики:</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t>а) быть привлечены к уголовной или административной ответственности;</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t>б) быть задержаны, заключены под стражу, подвергнуты обыску, личному досмотру, допрошены.</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t>Лица, занимавшие должности первого Президента Приднестровской Молдавской Республики и первого Председателя Верховного Совета Приднестровской Молдавской Республики и прекратившие исполнение своих полномочий, вне зависимости от согласия Верховного Совета Приднестровской Молдавской Республики не могут быть привлечены к уголовной или административной ответственности за деяния, совершенные ими в период исполнения полномочий Президента Приднестровской Молдавской Республики, Председателя Верховного Совета Приднестровской Молдавской Республики, задержаны, заключены под стражу, подвергнуты обыску, допросу либо личному досмотру, если указанные действия осуществляются в ходе производства по делам, связанным с исполнением ими полномочий Президента Приднестровской Молдавской Республики, Председателя Верховного Совета Приднестровской Молдавской Республики.</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lastRenderedPageBreak/>
              <w:t>4. Лица, занимавшие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прекратившие исполнение своих полномочий, могут быть привлечены к уголовной ответственности только с согласия Верховного Совета Приднестровской Молдавской Республики в случае совершения ими тяжкого или особо тяжкого преступления в период после сложения полномочий.</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t>5. Уголовное дело в отношении лиц, занимавших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прекративших исполнение своих полномочий, может быть возбуждено только Председателем Следственного комитета Приднестровской Молдавской Республики и подлежит рассмотрению Верховным судом Приднестровской Молдавской Республики.</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t>Производство об административном правонарушении в отношении лиц, занимавших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прекративших исполнение своих полномочий, может быть возбуждено только Прокурором Приднестровской Молдавской Республики.</w:t>
            </w:r>
          </w:p>
          <w:p w:rsidR="0059137C" w:rsidRPr="00E960C3" w:rsidRDefault="0059137C" w:rsidP="0059137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59137C">
              <w:rPr>
                <w:rFonts w:ascii="Times New Roman" w:hAnsi="Times New Roman" w:cs="Times New Roman"/>
                <w:sz w:val="24"/>
                <w:szCs w:val="24"/>
              </w:rPr>
              <w:t xml:space="preserve">6. Неприкосновенность лиц, занимавших должности </w:t>
            </w:r>
            <w:r w:rsidRPr="0059137C">
              <w:rPr>
                <w:rFonts w:ascii="Times New Roman" w:hAnsi="Times New Roman" w:cs="Times New Roman"/>
                <w:sz w:val="24"/>
                <w:szCs w:val="24"/>
              </w:rPr>
              <w:br/>
              <w:t>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прекративших исполнение своих полномочий, распространяется на занимаемые ими жилые и служебные помещения, используемые ими транспортные средства, средства связи, принадлежащие им документы и багаж, на их переписку</w:t>
            </w:r>
            <w:r>
              <w:rPr>
                <w:rFonts w:ascii="Times New Roman" w:hAnsi="Times New Roman" w:cs="Times New Roman"/>
                <w:sz w:val="24"/>
                <w:szCs w:val="24"/>
              </w:rPr>
              <w:t>.</w:t>
            </w:r>
          </w:p>
        </w:tc>
        <w:tc>
          <w:tcPr>
            <w:tcW w:w="4673" w:type="dxa"/>
            <w:tcBorders>
              <w:top w:val="single" w:sz="4" w:space="0" w:color="auto"/>
              <w:left w:val="single" w:sz="4" w:space="0" w:color="auto"/>
              <w:bottom w:val="single" w:sz="4" w:space="0" w:color="auto"/>
              <w:right w:val="single" w:sz="4" w:space="0" w:color="auto"/>
            </w:tcBorders>
          </w:tcPr>
          <w:p w:rsid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b/>
                <w:sz w:val="24"/>
                <w:szCs w:val="24"/>
              </w:rPr>
              <w:lastRenderedPageBreak/>
              <w:t>Статья 3.</w:t>
            </w:r>
            <w:r w:rsidRPr="0059137C">
              <w:rPr>
                <w:rFonts w:ascii="Times New Roman" w:hAnsi="Times New Roman" w:cs="Times New Roman"/>
                <w:sz w:val="24"/>
                <w:szCs w:val="24"/>
              </w:rPr>
              <w:t xml:space="preserve"> Неприкосновенность лиц, занимавших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прекративших исполнение своих полномочий</w:t>
            </w:r>
          </w:p>
          <w:p w:rsidR="0059137C" w:rsidRPr="0059137C" w:rsidRDefault="0059137C" w:rsidP="0059137C">
            <w:pPr>
              <w:spacing w:line="240" w:lineRule="auto"/>
              <w:ind w:firstLine="709"/>
              <w:rPr>
                <w:rFonts w:ascii="Times New Roman" w:hAnsi="Times New Roman" w:cs="Times New Roman"/>
                <w:sz w:val="24"/>
                <w:szCs w:val="24"/>
              </w:rPr>
            </w:pP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t>1. Лица, занимавшие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прекратившие исполнение своих полномочий, обладают неприкосновенностью.</w:t>
            </w:r>
          </w:p>
          <w:p w:rsid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t>2. Лица, занимавшие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прекратившие исполнение своих полномочий, не могут быть (за исключением случаев, предусмотренных настоящей статьей):</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b/>
                <w:sz w:val="24"/>
                <w:szCs w:val="24"/>
              </w:rPr>
              <w:t>а)</w:t>
            </w:r>
            <w:r>
              <w:rPr>
                <w:rFonts w:ascii="Times New Roman" w:hAnsi="Times New Roman" w:cs="Times New Roman"/>
                <w:sz w:val="24"/>
                <w:szCs w:val="24"/>
              </w:rPr>
              <w:t xml:space="preserve"> </w:t>
            </w:r>
            <w:r>
              <w:rPr>
                <w:rFonts w:ascii="Times New Roman" w:hAnsi="Times New Roman" w:cs="Times New Roman"/>
                <w:b/>
                <w:sz w:val="24"/>
                <w:szCs w:val="24"/>
              </w:rPr>
              <w:t>подвергнуты уголовному преследованию</w:t>
            </w:r>
            <w:r w:rsidRPr="00FC4269">
              <w:rPr>
                <w:rFonts w:ascii="Times New Roman" w:hAnsi="Times New Roman" w:cs="Times New Roman"/>
                <w:sz w:val="24"/>
                <w:szCs w:val="24"/>
              </w:rPr>
              <w:t xml:space="preserve"> </w:t>
            </w:r>
            <w:r w:rsidRPr="00FC4269">
              <w:rPr>
                <w:rFonts w:ascii="Times New Roman" w:hAnsi="Times New Roman" w:cs="Times New Roman"/>
                <w:b/>
                <w:sz w:val="24"/>
                <w:szCs w:val="24"/>
              </w:rPr>
              <w:t>иначе как в порядке, установленном Уголовно-процессуальным кодексом Приднестровской Молдавской Республики</w:t>
            </w:r>
            <w:r w:rsidRPr="0059137C">
              <w:rPr>
                <w:rFonts w:ascii="Times New Roman" w:hAnsi="Times New Roman" w:cs="Times New Roman"/>
                <w:b/>
                <w:sz w:val="24"/>
                <w:szCs w:val="24"/>
              </w:rPr>
              <w:t>;</w:t>
            </w:r>
          </w:p>
          <w:p w:rsid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b/>
                <w:sz w:val="24"/>
                <w:szCs w:val="24"/>
              </w:rPr>
              <w:t>б)</w:t>
            </w:r>
            <w:r w:rsidRPr="0059137C">
              <w:rPr>
                <w:rFonts w:ascii="Times New Roman" w:hAnsi="Times New Roman" w:cs="Times New Roman"/>
                <w:sz w:val="24"/>
                <w:szCs w:val="24"/>
              </w:rPr>
              <w:t xml:space="preserve"> привлечены к административной ответственности, а также ответственности в судебном порядке;</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b/>
                <w:sz w:val="24"/>
                <w:szCs w:val="24"/>
              </w:rPr>
              <w:t xml:space="preserve">в) </w:t>
            </w:r>
            <w:r w:rsidRPr="0059137C">
              <w:rPr>
                <w:rFonts w:ascii="Times New Roman" w:hAnsi="Times New Roman" w:cs="Times New Roman"/>
                <w:sz w:val="24"/>
                <w:szCs w:val="24"/>
              </w:rPr>
              <w:t xml:space="preserve">без согласия Верховного Совета Приднестровской Молдавской Республики </w:t>
            </w:r>
            <w:r>
              <w:rPr>
                <w:rFonts w:ascii="Times New Roman" w:hAnsi="Times New Roman" w:cs="Times New Roman"/>
                <w:sz w:val="24"/>
                <w:szCs w:val="24"/>
              </w:rPr>
              <w:t xml:space="preserve">подвергнуты </w:t>
            </w:r>
            <w:r w:rsidRPr="0059137C">
              <w:rPr>
                <w:rFonts w:ascii="Times New Roman" w:hAnsi="Times New Roman" w:cs="Times New Roman"/>
                <w:sz w:val="24"/>
                <w:szCs w:val="24"/>
              </w:rPr>
              <w:t xml:space="preserve">личному досмотру, за исключением случаев, когда это </w:t>
            </w:r>
            <w:r w:rsidRPr="0059137C">
              <w:rPr>
                <w:rFonts w:ascii="Times New Roman" w:hAnsi="Times New Roman" w:cs="Times New Roman"/>
                <w:sz w:val="24"/>
                <w:szCs w:val="24"/>
              </w:rPr>
              <w:lastRenderedPageBreak/>
              <w:t>предусмотрено закона</w:t>
            </w:r>
            <w:bookmarkStart w:id="0" w:name="_GoBack"/>
            <w:bookmarkEnd w:id="0"/>
            <w:r w:rsidRPr="0059137C">
              <w:rPr>
                <w:rFonts w:ascii="Times New Roman" w:hAnsi="Times New Roman" w:cs="Times New Roman"/>
                <w:sz w:val="24"/>
                <w:szCs w:val="24"/>
              </w:rPr>
              <w:t>ми Приднестровской Молдавской Республики для обеспечения безопасности других людей.</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t xml:space="preserve">3. Лица, занимавшие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прекратившие исполнение своих полномочий, за исключением лиц, занимавших должности  первого  Президента Приднестровской Молдавской Республики и первого Председателя  Верховного Совета Приднестровской Молдавской Республики и прекративших исполнение своих полномочий, за деяния, совершенные ими в период исполнения полномочий Президента Приднестровской Молдавской Республики, </w:t>
            </w:r>
            <w:r w:rsidRPr="0059137C">
              <w:rPr>
                <w:rFonts w:ascii="Times New Roman" w:hAnsi="Times New Roman" w:cs="Times New Roman"/>
                <w:sz w:val="24"/>
                <w:szCs w:val="24"/>
              </w:rPr>
              <w:br/>
              <w:t>Вице-Президента Приднестровской Молдавской Республики, Председателя Верховного Совета Приднестровской Молдавской Республики, не могут без согласия Верховного Совета Приднестровской Молдавской Республики:</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t>а) быть привлечены к уголовной или административной ответственности;</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t>б) быть задержаны, заключены под стражу, подвергнуты обыску, личному досмотру, допрошены.</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t xml:space="preserve">Лица, занимавшие должности первого Президента Приднестровской Молдавской Республики и первого Председателя Верховного Совета Приднестровской Молдавской Республики и прекратившие исполнение своих полномочий, вне зависимости от согласия Верховного Совета Приднестровской Молдавской Республики не могут быть привлечены к уголовной или административной ответственности за деяния, совершенные ими в период исполнения полномочий Президента Приднестровской Молдавской Республики, Председателя Верховного Совета Приднестровской Молдавской Республики, задержаны, заключены под стражу, подвергнуты обыску, допросу либо личному досмотру, если указанные действия осуществляются в ходе производства по делам, связанным с исполнением ими полномочий Президента Приднестровской Молдавской Республики, </w:t>
            </w:r>
            <w:r w:rsidRPr="0059137C">
              <w:rPr>
                <w:rFonts w:ascii="Times New Roman" w:hAnsi="Times New Roman" w:cs="Times New Roman"/>
                <w:sz w:val="24"/>
                <w:szCs w:val="24"/>
              </w:rPr>
              <w:lastRenderedPageBreak/>
              <w:t>Председателя Верховного Совета Приднестровской Молдавской Республики.</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t>4. Лица, занимавшие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прекратившие исполнение своих полномочий, могут быть привлечены к уголовной ответственности только с согласия Верховного Совета Приднестровской Молдавской Республики в случае совершения ими тяжкого или особо тяжкого преступления в период после сложения полномочий.</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t>5. Уголовное дело в отношении лиц, занимавших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прекративших исполнение своих полномочий, может быть возбуждено только Председателем Следственного комитета Приднестровской Молдавской Республики и подлежит рассмотрению Верховным судом Приднестровской Молдавской Республики</w:t>
            </w:r>
            <w:r>
              <w:rPr>
                <w:rFonts w:ascii="Tahoma" w:hAnsi="Tahoma" w:cs="Tahoma"/>
                <w:color w:val="000000"/>
                <w:sz w:val="16"/>
                <w:szCs w:val="16"/>
                <w:lang w:val="x-none"/>
              </w:rPr>
              <w:t xml:space="preserve"> </w:t>
            </w:r>
            <w:r w:rsidRPr="0059137C">
              <w:rPr>
                <w:rFonts w:ascii="Times New Roman" w:hAnsi="Times New Roman" w:cs="Times New Roman"/>
                <w:b/>
                <w:color w:val="000000"/>
                <w:sz w:val="24"/>
                <w:szCs w:val="24"/>
                <w:lang w:val="x-none"/>
              </w:rPr>
              <w:t>по их ходатайству, заявленному до начала судебного разбирательства</w:t>
            </w:r>
            <w:r w:rsidRPr="0059137C">
              <w:rPr>
                <w:rFonts w:ascii="Times New Roman" w:hAnsi="Times New Roman" w:cs="Times New Roman"/>
                <w:b/>
                <w:sz w:val="24"/>
                <w:szCs w:val="24"/>
              </w:rPr>
              <w:t>.</w:t>
            </w:r>
          </w:p>
          <w:p w:rsidR="0059137C" w:rsidRPr="0059137C" w:rsidRDefault="0059137C" w:rsidP="0059137C">
            <w:pPr>
              <w:spacing w:line="240" w:lineRule="auto"/>
              <w:ind w:firstLine="709"/>
              <w:rPr>
                <w:rFonts w:ascii="Times New Roman" w:hAnsi="Times New Roman" w:cs="Times New Roman"/>
                <w:sz w:val="24"/>
                <w:szCs w:val="24"/>
              </w:rPr>
            </w:pPr>
            <w:r w:rsidRPr="0059137C">
              <w:rPr>
                <w:rFonts w:ascii="Times New Roman" w:hAnsi="Times New Roman" w:cs="Times New Roman"/>
                <w:sz w:val="24"/>
                <w:szCs w:val="24"/>
              </w:rPr>
              <w:t>Производство об административном правонарушении в отношении лиц, занимавших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прекративших исполнение своих полномочий, может быть возбуждено только Прокурором Приднестровской Молдавской Республики.</w:t>
            </w:r>
          </w:p>
          <w:p w:rsidR="0059137C" w:rsidRPr="00E960C3" w:rsidRDefault="0059137C" w:rsidP="0059137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59137C">
              <w:rPr>
                <w:rFonts w:ascii="Times New Roman" w:hAnsi="Times New Roman" w:cs="Times New Roman"/>
                <w:sz w:val="24"/>
                <w:szCs w:val="24"/>
              </w:rPr>
              <w:t xml:space="preserve">6. Неприкосновенность лиц, занимавших должности </w:t>
            </w:r>
            <w:r w:rsidRPr="0059137C">
              <w:rPr>
                <w:rFonts w:ascii="Times New Roman" w:hAnsi="Times New Roman" w:cs="Times New Roman"/>
                <w:sz w:val="24"/>
                <w:szCs w:val="24"/>
              </w:rPr>
              <w:br/>
              <w:t xml:space="preserve">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прекративших исполнение своих полномочий, распространяется на занимаемые ими жилые и служебные помещения, используемые ими транспортные средства, средства связи, </w:t>
            </w:r>
            <w:r w:rsidRPr="0059137C">
              <w:rPr>
                <w:rFonts w:ascii="Times New Roman" w:hAnsi="Times New Roman" w:cs="Times New Roman"/>
                <w:sz w:val="24"/>
                <w:szCs w:val="24"/>
              </w:rPr>
              <w:lastRenderedPageBreak/>
              <w:t>принадлежащие им документы и багаж, на их переписку</w:t>
            </w:r>
            <w:r>
              <w:rPr>
                <w:rFonts w:ascii="Times New Roman" w:hAnsi="Times New Roman" w:cs="Times New Roman"/>
                <w:sz w:val="24"/>
                <w:szCs w:val="24"/>
              </w:rPr>
              <w:t>.</w:t>
            </w:r>
          </w:p>
        </w:tc>
      </w:tr>
    </w:tbl>
    <w:p w:rsidR="0059137C" w:rsidRPr="0059137C" w:rsidRDefault="0059137C" w:rsidP="0059137C">
      <w:pPr>
        <w:spacing w:after="0" w:line="240" w:lineRule="auto"/>
        <w:jc w:val="both"/>
        <w:rPr>
          <w:rFonts w:ascii="Times New Roman" w:hAnsi="Times New Roman" w:cs="Times New Roman"/>
          <w:sz w:val="24"/>
          <w:szCs w:val="24"/>
        </w:rPr>
      </w:pPr>
    </w:p>
    <w:sectPr w:rsidR="0059137C" w:rsidRPr="0059137C"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738DB"/>
    <w:rsid w:val="00084534"/>
    <w:rsid w:val="000B23EA"/>
    <w:rsid w:val="000C2F9F"/>
    <w:rsid w:val="000D791B"/>
    <w:rsid w:val="00117C83"/>
    <w:rsid w:val="00145BF5"/>
    <w:rsid w:val="001468AD"/>
    <w:rsid w:val="001870CD"/>
    <w:rsid w:val="001B58CF"/>
    <w:rsid w:val="001E6D8C"/>
    <w:rsid w:val="001F20FC"/>
    <w:rsid w:val="002578E6"/>
    <w:rsid w:val="00262595"/>
    <w:rsid w:val="00283F89"/>
    <w:rsid w:val="00284142"/>
    <w:rsid w:val="002B4CB6"/>
    <w:rsid w:val="002F21E3"/>
    <w:rsid w:val="00327FAC"/>
    <w:rsid w:val="00356D19"/>
    <w:rsid w:val="00371F3C"/>
    <w:rsid w:val="00396F80"/>
    <w:rsid w:val="003B30EB"/>
    <w:rsid w:val="004308CE"/>
    <w:rsid w:val="00432019"/>
    <w:rsid w:val="00467F84"/>
    <w:rsid w:val="004C4B57"/>
    <w:rsid w:val="004C6E75"/>
    <w:rsid w:val="004F75A2"/>
    <w:rsid w:val="00502D21"/>
    <w:rsid w:val="00546D95"/>
    <w:rsid w:val="00555F81"/>
    <w:rsid w:val="00573F30"/>
    <w:rsid w:val="00587D34"/>
    <w:rsid w:val="0059137C"/>
    <w:rsid w:val="005B6C1C"/>
    <w:rsid w:val="005F4766"/>
    <w:rsid w:val="0060140F"/>
    <w:rsid w:val="006022CC"/>
    <w:rsid w:val="006256B4"/>
    <w:rsid w:val="00692127"/>
    <w:rsid w:val="006A37BD"/>
    <w:rsid w:val="006D0359"/>
    <w:rsid w:val="006F1C4F"/>
    <w:rsid w:val="006F3749"/>
    <w:rsid w:val="007521F8"/>
    <w:rsid w:val="00816927"/>
    <w:rsid w:val="00853A18"/>
    <w:rsid w:val="008B61E1"/>
    <w:rsid w:val="00973BB2"/>
    <w:rsid w:val="009B782D"/>
    <w:rsid w:val="00A23BB5"/>
    <w:rsid w:val="00A33C6C"/>
    <w:rsid w:val="00A40B72"/>
    <w:rsid w:val="00A5671B"/>
    <w:rsid w:val="00A771CC"/>
    <w:rsid w:val="00A906AD"/>
    <w:rsid w:val="00B07E46"/>
    <w:rsid w:val="00B61DDD"/>
    <w:rsid w:val="00B61F49"/>
    <w:rsid w:val="00BA6EFB"/>
    <w:rsid w:val="00BD257E"/>
    <w:rsid w:val="00BE434D"/>
    <w:rsid w:val="00BE5A1E"/>
    <w:rsid w:val="00BF1785"/>
    <w:rsid w:val="00C31E51"/>
    <w:rsid w:val="00C439D2"/>
    <w:rsid w:val="00C63086"/>
    <w:rsid w:val="00C95094"/>
    <w:rsid w:val="00CD0144"/>
    <w:rsid w:val="00CF6F90"/>
    <w:rsid w:val="00D15010"/>
    <w:rsid w:val="00D21EAD"/>
    <w:rsid w:val="00D400AC"/>
    <w:rsid w:val="00D62B27"/>
    <w:rsid w:val="00E004EF"/>
    <w:rsid w:val="00E07B73"/>
    <w:rsid w:val="00E80F8C"/>
    <w:rsid w:val="00E960C3"/>
    <w:rsid w:val="00EC6E2B"/>
    <w:rsid w:val="00F34D80"/>
    <w:rsid w:val="00F64044"/>
    <w:rsid w:val="00F93125"/>
    <w:rsid w:val="00FC4269"/>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78A7"/>
  <w15:docId w15:val="{8A9B49C6-8615-4622-BE9B-2823F3C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next w:val="a"/>
    <w:link w:val="10"/>
    <w:uiPriority w:val="99"/>
    <w:qFormat/>
    <w:rsid w:val="00F6404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Знак3"/>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Цветовое выделение"/>
    <w:uiPriority w:val="99"/>
    <w:rsid w:val="00816927"/>
    <w:rPr>
      <w:b/>
      <w:bCs/>
      <w:color w:val="26282F"/>
    </w:rPr>
  </w:style>
  <w:style w:type="character" w:customStyle="1" w:styleId="af0">
    <w:name w:val="Гипертекстовая ссылка"/>
    <w:basedOn w:val="af"/>
    <w:uiPriority w:val="99"/>
    <w:rsid w:val="00816927"/>
    <w:rPr>
      <w:b/>
      <w:bCs/>
      <w:color w:val="106BBE"/>
    </w:rPr>
  </w:style>
  <w:style w:type="paragraph" w:customStyle="1" w:styleId="af1">
    <w:name w:val="Заголовок статьи"/>
    <w:basedOn w:val="a"/>
    <w:next w:val="a"/>
    <w:uiPriority w:val="99"/>
    <w:rsid w:val="00816927"/>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81692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816927"/>
    <w:rPr>
      <w:i/>
      <w:iCs/>
    </w:rPr>
  </w:style>
  <w:style w:type="character" w:customStyle="1" w:styleId="10">
    <w:name w:val="Заголовок 1 Знак"/>
    <w:basedOn w:val="a0"/>
    <w:link w:val="1"/>
    <w:uiPriority w:val="99"/>
    <w:rsid w:val="00F64044"/>
    <w:rPr>
      <w:rFonts w:ascii="Times New Roman CYR" w:eastAsiaTheme="minorEastAsia" w:hAnsi="Times New Roman CYR" w:cs="Times New Roman CYR"/>
      <w:b/>
      <w:bCs/>
      <w:color w:val="26282F"/>
      <w:szCs w:val="24"/>
      <w:lang w:eastAsia="ru-RU"/>
    </w:rPr>
  </w:style>
  <w:style w:type="paragraph" w:styleId="af4">
    <w:name w:val="Normal (Web)"/>
    <w:basedOn w:val="a"/>
    <w:uiPriority w:val="99"/>
    <w:semiHidden/>
    <w:unhideWhenUsed/>
    <w:rsid w:val="00E0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00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FC4269"/>
    <w:rPr>
      <w:i/>
      <w:iCs/>
    </w:rPr>
  </w:style>
  <w:style w:type="paragraph" w:styleId="HTML">
    <w:name w:val="HTML Preformatted"/>
    <w:basedOn w:val="a"/>
    <w:link w:val="HTML0"/>
    <w:rsid w:val="0059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9137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60030">
      <w:bodyDiv w:val="1"/>
      <w:marLeft w:val="0"/>
      <w:marRight w:val="0"/>
      <w:marTop w:val="0"/>
      <w:marBottom w:val="0"/>
      <w:divBdr>
        <w:top w:val="none" w:sz="0" w:space="0" w:color="auto"/>
        <w:left w:val="none" w:sz="0" w:space="0" w:color="auto"/>
        <w:bottom w:val="none" w:sz="0" w:space="0" w:color="auto"/>
        <w:right w:val="none" w:sz="0" w:space="0" w:color="auto"/>
      </w:divBdr>
      <w:divsChild>
        <w:div w:id="199636022">
          <w:marLeft w:val="0"/>
          <w:marRight w:val="0"/>
          <w:marTop w:val="210"/>
          <w:marBottom w:val="0"/>
          <w:divBdr>
            <w:top w:val="none" w:sz="0" w:space="0" w:color="auto"/>
            <w:left w:val="none" w:sz="0" w:space="0" w:color="auto"/>
            <w:bottom w:val="none" w:sz="0" w:space="0" w:color="auto"/>
            <w:right w:val="none" w:sz="0" w:space="0" w:color="auto"/>
          </w:divBdr>
        </w:div>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988172478">
      <w:bodyDiv w:val="1"/>
      <w:marLeft w:val="0"/>
      <w:marRight w:val="0"/>
      <w:marTop w:val="0"/>
      <w:marBottom w:val="0"/>
      <w:divBdr>
        <w:top w:val="none" w:sz="0" w:space="0" w:color="auto"/>
        <w:left w:val="none" w:sz="0" w:space="0" w:color="auto"/>
        <w:bottom w:val="none" w:sz="0" w:space="0" w:color="auto"/>
        <w:right w:val="none" w:sz="0" w:space="0" w:color="auto"/>
      </w:divBdr>
      <w:divsChild>
        <w:div w:id="3169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1C8DA-CAB4-4486-8A82-FE5BCDB7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1586</Words>
  <Characters>9042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9</cp:revision>
  <cp:lastPrinted>2023-09-13T12:16:00Z</cp:lastPrinted>
  <dcterms:created xsi:type="dcterms:W3CDTF">2023-03-15T10:16:00Z</dcterms:created>
  <dcterms:modified xsi:type="dcterms:W3CDTF">2024-11-04T11:55:00Z</dcterms:modified>
</cp:coreProperties>
</file>