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C1F" w:rsidRDefault="003B5C1F" w:rsidP="003B5C1F">
      <w:pPr>
        <w:pStyle w:val="a3"/>
        <w:jc w:val="both"/>
        <w:rPr>
          <w:rFonts w:ascii="Times New Roman" w:hAnsi="Times New Roman" w:cs="Times New Roman"/>
          <w:b/>
          <w:i/>
          <w:color w:val="993300"/>
          <w:sz w:val="28"/>
          <w:szCs w:val="28"/>
        </w:rPr>
      </w:pPr>
      <w:r>
        <w:rPr>
          <w:rFonts w:ascii="Times New Roman" w:hAnsi="Times New Roman" w:cs="Times New Roman"/>
          <w:b/>
          <w:i/>
          <w:color w:val="993300"/>
          <w:sz w:val="28"/>
          <w:szCs w:val="28"/>
        </w:rPr>
        <w:t>В приложениях №№ 1, 2, 3 ставки земельного налога исчисляются с учетом деноминации (Закон № 193-ЗИД-</w:t>
      </w:r>
      <w:r>
        <w:rPr>
          <w:rFonts w:ascii="Times New Roman" w:hAnsi="Times New Roman" w:cs="Times New Roman"/>
          <w:b/>
          <w:i/>
          <w:color w:val="993300"/>
          <w:sz w:val="28"/>
          <w:szCs w:val="28"/>
          <w:lang w:val="en-US"/>
        </w:rPr>
        <w:t>III</w:t>
      </w:r>
      <w:r>
        <w:rPr>
          <w:rFonts w:ascii="Times New Roman" w:hAnsi="Times New Roman" w:cs="Times New Roman"/>
          <w:b/>
          <w:i/>
          <w:color w:val="993300"/>
          <w:sz w:val="28"/>
          <w:szCs w:val="28"/>
        </w:rPr>
        <w:t xml:space="preserve"> от 28.09.02г).</w:t>
      </w:r>
    </w:p>
    <w:p w:rsidR="003B5C1F" w:rsidRDefault="003B5C1F" w:rsidP="007B5BA2">
      <w:pPr>
        <w:pStyle w:val="a3"/>
        <w:ind w:firstLine="720"/>
        <w:jc w:val="right"/>
        <w:outlineLvl w:val="0"/>
        <w:rPr>
          <w:rFonts w:ascii="Times New Roman" w:hAnsi="Times New Roman" w:cs="Times New Roman"/>
          <w:sz w:val="28"/>
          <w:szCs w:val="28"/>
        </w:rPr>
      </w:pPr>
    </w:p>
    <w:p w:rsidR="00A714A5" w:rsidRPr="00A714A5" w:rsidRDefault="00A714A5" w:rsidP="00A714A5">
      <w:pPr>
        <w:ind w:left="4536"/>
        <w:jc w:val="right"/>
        <w:outlineLvl w:val="0"/>
        <w:rPr>
          <w:sz w:val="28"/>
          <w:szCs w:val="28"/>
        </w:rPr>
      </w:pPr>
      <w:r w:rsidRPr="00A714A5">
        <w:rPr>
          <w:sz w:val="28"/>
          <w:szCs w:val="28"/>
        </w:rPr>
        <w:t>Приложение № 3</w:t>
      </w:r>
    </w:p>
    <w:p w:rsidR="00A714A5" w:rsidRPr="00A714A5" w:rsidRDefault="00A714A5" w:rsidP="00A714A5">
      <w:pPr>
        <w:ind w:left="4536"/>
        <w:jc w:val="both"/>
        <w:rPr>
          <w:sz w:val="28"/>
          <w:szCs w:val="28"/>
        </w:rPr>
      </w:pPr>
      <w:r w:rsidRPr="00A714A5">
        <w:rPr>
          <w:sz w:val="28"/>
          <w:szCs w:val="28"/>
        </w:rPr>
        <w:t>к Закону Приднестровской Молдавской Республики «О плате за землю»</w:t>
      </w:r>
    </w:p>
    <w:p w:rsidR="007B5BA2" w:rsidRPr="00DA290C" w:rsidRDefault="007B5BA2" w:rsidP="007B5BA2">
      <w:pPr>
        <w:pStyle w:val="a3"/>
        <w:ind w:firstLine="720"/>
        <w:jc w:val="both"/>
        <w:rPr>
          <w:rFonts w:ascii="Times New Roman" w:hAnsi="Times New Roman" w:cs="Times New Roman"/>
          <w:sz w:val="16"/>
          <w:szCs w:val="16"/>
        </w:rPr>
      </w:pPr>
    </w:p>
    <w:p w:rsidR="007B5BA2" w:rsidRPr="0064136B" w:rsidRDefault="007B5BA2" w:rsidP="007B5BA2">
      <w:pPr>
        <w:pStyle w:val="a3"/>
        <w:jc w:val="both"/>
        <w:rPr>
          <w:rFonts w:ascii="Times New Roman" w:hAnsi="Times New Roman" w:cs="Times New Roman"/>
          <w:b/>
          <w:i/>
          <w:sz w:val="24"/>
          <w:szCs w:val="24"/>
        </w:rPr>
      </w:pPr>
      <w:r>
        <w:rPr>
          <w:rFonts w:ascii="Times New Roman" w:hAnsi="Times New Roman" w:cs="Times New Roman"/>
          <w:b/>
          <w:i/>
          <w:sz w:val="24"/>
          <w:szCs w:val="24"/>
        </w:rPr>
        <w:t>-- Строка</w:t>
      </w:r>
      <w:r w:rsidRPr="006F6B21">
        <w:rPr>
          <w:rFonts w:ascii="Times New Roman" w:hAnsi="Times New Roman" w:cs="Times New Roman"/>
          <w:b/>
          <w:i/>
          <w:sz w:val="24"/>
          <w:szCs w:val="24"/>
        </w:rPr>
        <w:t xml:space="preserve"> 1) </w:t>
      </w:r>
      <w:bookmarkStart w:id="0" w:name="_GoBack"/>
      <w:r w:rsidRPr="0064136B">
        <w:rPr>
          <w:rFonts w:ascii="Times New Roman" w:hAnsi="Times New Roman" w:cs="Times New Roman"/>
          <w:b/>
          <w:i/>
          <w:sz w:val="24"/>
          <w:szCs w:val="24"/>
        </w:rPr>
        <w:t>Приложения № 3 с изменением (Закон № 293-ЗИД-</w:t>
      </w:r>
      <w:r w:rsidRPr="0064136B">
        <w:rPr>
          <w:rFonts w:ascii="Times New Roman" w:hAnsi="Times New Roman" w:cs="Times New Roman"/>
          <w:b/>
          <w:i/>
          <w:sz w:val="24"/>
          <w:szCs w:val="24"/>
          <w:lang w:val="en-US"/>
        </w:rPr>
        <w:t>III</w:t>
      </w:r>
      <w:r w:rsidRPr="0064136B">
        <w:rPr>
          <w:rFonts w:ascii="Times New Roman" w:hAnsi="Times New Roman" w:cs="Times New Roman"/>
          <w:b/>
          <w:i/>
          <w:sz w:val="24"/>
          <w:szCs w:val="24"/>
        </w:rPr>
        <w:t xml:space="preserve"> от 23.06.03г);</w:t>
      </w:r>
    </w:p>
    <w:p w:rsidR="007B5BA2" w:rsidRPr="0064136B" w:rsidRDefault="007B5BA2" w:rsidP="007B5BA2">
      <w:pPr>
        <w:pStyle w:val="a3"/>
        <w:jc w:val="both"/>
        <w:rPr>
          <w:rFonts w:ascii="Times New Roman" w:hAnsi="Times New Roman" w:cs="Times New Roman"/>
          <w:b/>
          <w:i/>
          <w:sz w:val="24"/>
          <w:szCs w:val="24"/>
        </w:rPr>
      </w:pPr>
      <w:r w:rsidRPr="0064136B">
        <w:rPr>
          <w:rFonts w:ascii="Times New Roman" w:hAnsi="Times New Roman" w:cs="Times New Roman"/>
          <w:b/>
          <w:i/>
          <w:sz w:val="24"/>
          <w:szCs w:val="24"/>
        </w:rPr>
        <w:t>-- Приложение № 3 в новой редакции (Закон № 326-ЗИД-</w:t>
      </w:r>
      <w:r w:rsidRPr="0064136B">
        <w:rPr>
          <w:rFonts w:ascii="Times New Roman" w:hAnsi="Times New Roman" w:cs="Times New Roman"/>
          <w:b/>
          <w:i/>
          <w:sz w:val="24"/>
          <w:szCs w:val="24"/>
          <w:lang w:val="en-US"/>
        </w:rPr>
        <w:t>III</w:t>
      </w:r>
      <w:r w:rsidRPr="0064136B">
        <w:rPr>
          <w:rFonts w:ascii="Times New Roman" w:hAnsi="Times New Roman" w:cs="Times New Roman"/>
          <w:b/>
          <w:i/>
          <w:sz w:val="24"/>
          <w:szCs w:val="24"/>
        </w:rPr>
        <w:t xml:space="preserve"> от 05.08.03г);</w:t>
      </w:r>
    </w:p>
    <w:p w:rsidR="007B5BA2" w:rsidRPr="0064136B" w:rsidRDefault="007B5BA2" w:rsidP="007B5BA2">
      <w:pPr>
        <w:pStyle w:val="a3"/>
        <w:jc w:val="both"/>
        <w:rPr>
          <w:rFonts w:ascii="Times New Roman" w:hAnsi="Times New Roman" w:cs="Times New Roman"/>
          <w:b/>
          <w:i/>
          <w:sz w:val="24"/>
          <w:szCs w:val="24"/>
        </w:rPr>
      </w:pPr>
      <w:r w:rsidRPr="0064136B">
        <w:rPr>
          <w:rFonts w:ascii="Times New Roman" w:hAnsi="Times New Roman" w:cs="Times New Roman"/>
          <w:b/>
          <w:i/>
          <w:sz w:val="24"/>
          <w:szCs w:val="24"/>
        </w:rPr>
        <w:t>-- Строка 1 Приложения № 3 с изменениями</w:t>
      </w:r>
      <w:r w:rsidRPr="0064136B">
        <w:t xml:space="preserve"> </w:t>
      </w:r>
      <w:r w:rsidRPr="0064136B">
        <w:rPr>
          <w:rFonts w:ascii="Times New Roman" w:hAnsi="Times New Roman" w:cs="Times New Roman"/>
          <w:b/>
          <w:i/>
          <w:sz w:val="24"/>
          <w:szCs w:val="24"/>
        </w:rPr>
        <w:t>(Закон № 611-ЗИД-</w:t>
      </w:r>
      <w:r w:rsidRPr="0064136B">
        <w:rPr>
          <w:rFonts w:ascii="Times New Roman" w:hAnsi="Times New Roman" w:cs="Times New Roman"/>
          <w:b/>
          <w:i/>
          <w:sz w:val="24"/>
          <w:szCs w:val="24"/>
          <w:lang w:val="en-US"/>
        </w:rPr>
        <w:t>III</w:t>
      </w:r>
      <w:r w:rsidRPr="0064136B">
        <w:rPr>
          <w:rFonts w:ascii="Times New Roman" w:hAnsi="Times New Roman" w:cs="Times New Roman"/>
          <w:b/>
          <w:i/>
          <w:sz w:val="24"/>
          <w:szCs w:val="24"/>
        </w:rPr>
        <w:t xml:space="preserve"> от 04.08.05г);</w:t>
      </w:r>
    </w:p>
    <w:p w:rsidR="007B5BA2" w:rsidRPr="0064136B" w:rsidRDefault="007B5BA2" w:rsidP="007B5BA2">
      <w:pPr>
        <w:pStyle w:val="a3"/>
        <w:jc w:val="both"/>
        <w:rPr>
          <w:rFonts w:ascii="Times New Roman" w:hAnsi="Times New Roman" w:cs="Times New Roman"/>
          <w:b/>
          <w:i/>
          <w:sz w:val="24"/>
          <w:szCs w:val="24"/>
        </w:rPr>
      </w:pPr>
      <w:r w:rsidRPr="0064136B">
        <w:rPr>
          <w:rFonts w:ascii="Times New Roman" w:hAnsi="Times New Roman" w:cs="Times New Roman"/>
          <w:b/>
          <w:i/>
          <w:sz w:val="24"/>
          <w:szCs w:val="24"/>
        </w:rPr>
        <w:t>-- Приложение № 3 в новой редакции (Закон № 553-ЗИ-</w:t>
      </w:r>
      <w:r w:rsidRPr="0064136B">
        <w:rPr>
          <w:rFonts w:ascii="Times New Roman" w:hAnsi="Times New Roman" w:cs="Times New Roman"/>
          <w:b/>
          <w:i/>
          <w:sz w:val="24"/>
          <w:szCs w:val="24"/>
          <w:lang w:val="en-US"/>
        </w:rPr>
        <w:t>IV</w:t>
      </w:r>
      <w:r w:rsidRPr="0064136B">
        <w:rPr>
          <w:rFonts w:ascii="Times New Roman" w:hAnsi="Times New Roman" w:cs="Times New Roman"/>
          <w:b/>
          <w:i/>
          <w:sz w:val="24"/>
          <w:szCs w:val="24"/>
        </w:rPr>
        <w:t xml:space="preserve"> от 26.09.08г);</w:t>
      </w:r>
    </w:p>
    <w:p w:rsidR="007B5BA2" w:rsidRPr="0064136B" w:rsidRDefault="007B5BA2" w:rsidP="007B5BA2">
      <w:pPr>
        <w:pStyle w:val="a3"/>
        <w:jc w:val="both"/>
        <w:rPr>
          <w:rFonts w:ascii="Times New Roman" w:hAnsi="Times New Roman" w:cs="Times New Roman"/>
          <w:b/>
          <w:i/>
          <w:sz w:val="24"/>
          <w:szCs w:val="24"/>
        </w:rPr>
      </w:pPr>
      <w:r w:rsidRPr="0064136B">
        <w:rPr>
          <w:rFonts w:ascii="Times New Roman" w:hAnsi="Times New Roman" w:cs="Times New Roman"/>
          <w:b/>
          <w:i/>
          <w:sz w:val="24"/>
          <w:szCs w:val="24"/>
        </w:rPr>
        <w:t>-- Строка 1) Приложения № 3 в новой редакции (Закон № 33-ЗИ-</w:t>
      </w:r>
      <w:r w:rsidRPr="0064136B">
        <w:rPr>
          <w:rFonts w:ascii="Times New Roman" w:hAnsi="Times New Roman" w:cs="Times New Roman"/>
          <w:b/>
          <w:i/>
          <w:sz w:val="24"/>
          <w:szCs w:val="24"/>
          <w:lang w:val="en-US"/>
        </w:rPr>
        <w:t>V</w:t>
      </w:r>
      <w:r w:rsidRPr="0064136B">
        <w:rPr>
          <w:rFonts w:ascii="Times New Roman" w:hAnsi="Times New Roman" w:cs="Times New Roman"/>
          <w:b/>
          <w:i/>
          <w:sz w:val="24"/>
          <w:szCs w:val="24"/>
        </w:rPr>
        <w:t xml:space="preserve"> от 23.03.12г);</w:t>
      </w:r>
    </w:p>
    <w:p w:rsidR="007B5BA2" w:rsidRPr="0064136B" w:rsidRDefault="007B5BA2" w:rsidP="007B5BA2">
      <w:pPr>
        <w:pStyle w:val="a3"/>
        <w:jc w:val="both"/>
        <w:rPr>
          <w:rFonts w:ascii="Times New Roman" w:hAnsi="Times New Roman" w:cs="Times New Roman"/>
          <w:b/>
          <w:i/>
          <w:sz w:val="24"/>
          <w:szCs w:val="24"/>
        </w:rPr>
      </w:pPr>
      <w:r w:rsidRPr="0064136B">
        <w:rPr>
          <w:rFonts w:ascii="Times New Roman" w:hAnsi="Times New Roman" w:cs="Times New Roman"/>
          <w:b/>
          <w:i/>
          <w:sz w:val="24"/>
          <w:szCs w:val="24"/>
        </w:rPr>
        <w:t>-- Строка 2) Приложения № 3 в новой редакции (Закон № 33-ЗИ-</w:t>
      </w:r>
      <w:r w:rsidRPr="0064136B">
        <w:rPr>
          <w:rFonts w:ascii="Times New Roman" w:hAnsi="Times New Roman" w:cs="Times New Roman"/>
          <w:b/>
          <w:i/>
          <w:sz w:val="24"/>
          <w:szCs w:val="24"/>
          <w:lang w:val="en-US"/>
        </w:rPr>
        <w:t>V</w:t>
      </w:r>
      <w:r w:rsidRPr="0064136B">
        <w:rPr>
          <w:rFonts w:ascii="Times New Roman" w:hAnsi="Times New Roman" w:cs="Times New Roman"/>
          <w:b/>
          <w:i/>
          <w:sz w:val="24"/>
          <w:szCs w:val="24"/>
        </w:rPr>
        <w:t xml:space="preserve"> от 23.03.12г);</w:t>
      </w:r>
    </w:p>
    <w:p w:rsidR="007B5BA2" w:rsidRPr="0064136B" w:rsidRDefault="007B5BA2" w:rsidP="007B5BA2">
      <w:pPr>
        <w:pStyle w:val="a3"/>
        <w:jc w:val="both"/>
        <w:rPr>
          <w:rFonts w:ascii="Times New Roman" w:hAnsi="Times New Roman" w:cs="Times New Roman"/>
          <w:b/>
          <w:i/>
          <w:sz w:val="24"/>
          <w:szCs w:val="24"/>
        </w:rPr>
      </w:pPr>
      <w:r w:rsidRPr="0064136B">
        <w:rPr>
          <w:rFonts w:ascii="Times New Roman" w:hAnsi="Times New Roman" w:cs="Times New Roman"/>
          <w:b/>
          <w:i/>
          <w:sz w:val="24"/>
          <w:szCs w:val="24"/>
        </w:rPr>
        <w:t>-- Строка 2) Приложения № 3 с изменением (Закон № 84-ЗИ-</w:t>
      </w:r>
      <w:r w:rsidRPr="0064136B">
        <w:rPr>
          <w:rFonts w:ascii="Times New Roman" w:hAnsi="Times New Roman" w:cs="Times New Roman"/>
          <w:b/>
          <w:i/>
          <w:sz w:val="24"/>
          <w:szCs w:val="24"/>
          <w:lang w:val="en-US"/>
        </w:rPr>
        <w:t>VI</w:t>
      </w:r>
      <w:r w:rsidRPr="0064136B">
        <w:rPr>
          <w:rFonts w:ascii="Times New Roman" w:hAnsi="Times New Roman" w:cs="Times New Roman"/>
          <w:b/>
          <w:i/>
          <w:sz w:val="24"/>
          <w:szCs w:val="24"/>
        </w:rPr>
        <w:t xml:space="preserve"> от 11.04.17г);</w:t>
      </w:r>
    </w:p>
    <w:p w:rsidR="007B5BA2" w:rsidRPr="0064136B" w:rsidRDefault="007B5BA2" w:rsidP="007B5BA2">
      <w:pPr>
        <w:pStyle w:val="a3"/>
        <w:jc w:val="both"/>
        <w:rPr>
          <w:rFonts w:ascii="Times New Roman" w:hAnsi="Times New Roman" w:cs="Times New Roman"/>
          <w:b/>
          <w:i/>
          <w:sz w:val="24"/>
          <w:szCs w:val="24"/>
        </w:rPr>
      </w:pPr>
      <w:r w:rsidRPr="0064136B">
        <w:rPr>
          <w:rFonts w:ascii="Times New Roman" w:hAnsi="Times New Roman" w:cs="Times New Roman"/>
          <w:b/>
          <w:i/>
          <w:sz w:val="24"/>
          <w:szCs w:val="24"/>
        </w:rPr>
        <w:t xml:space="preserve">-- В строке 3) Приложения № 3 исключены слова «юридическим лицам» </w:t>
      </w:r>
      <w:r w:rsidRPr="0064136B">
        <w:rPr>
          <w:rFonts w:ascii="Times New Roman" w:hAnsi="Times New Roman" w:cs="Times New Roman"/>
          <w:b/>
          <w:i/>
          <w:sz w:val="24"/>
          <w:szCs w:val="24"/>
        </w:rPr>
        <w:br/>
        <w:t>(Закон № 33-ЗИ-</w:t>
      </w:r>
      <w:r w:rsidRPr="0064136B">
        <w:rPr>
          <w:rFonts w:ascii="Times New Roman" w:hAnsi="Times New Roman" w:cs="Times New Roman"/>
          <w:b/>
          <w:i/>
          <w:sz w:val="24"/>
          <w:szCs w:val="24"/>
          <w:lang w:val="en-US"/>
        </w:rPr>
        <w:t>V</w:t>
      </w:r>
      <w:r w:rsidRPr="0064136B">
        <w:rPr>
          <w:rFonts w:ascii="Times New Roman" w:hAnsi="Times New Roman" w:cs="Times New Roman"/>
          <w:b/>
          <w:i/>
          <w:sz w:val="24"/>
          <w:szCs w:val="24"/>
        </w:rPr>
        <w:t xml:space="preserve"> от 23.03.12г);</w:t>
      </w:r>
    </w:p>
    <w:p w:rsidR="007B5BA2" w:rsidRPr="0064136B" w:rsidRDefault="007B5BA2" w:rsidP="007B5BA2">
      <w:pPr>
        <w:pStyle w:val="a3"/>
        <w:jc w:val="both"/>
        <w:rPr>
          <w:rFonts w:ascii="Times New Roman" w:hAnsi="Times New Roman" w:cs="Times New Roman"/>
          <w:b/>
          <w:i/>
          <w:sz w:val="24"/>
          <w:szCs w:val="24"/>
        </w:rPr>
      </w:pPr>
      <w:r w:rsidRPr="0064136B">
        <w:rPr>
          <w:rFonts w:ascii="Times New Roman" w:hAnsi="Times New Roman" w:cs="Times New Roman"/>
          <w:b/>
          <w:i/>
          <w:sz w:val="24"/>
          <w:szCs w:val="24"/>
        </w:rPr>
        <w:t>-- Текстовая часть строки 3) Приложения № 3 в новой редакции (Закон № 84-ЗИ-</w:t>
      </w:r>
      <w:r w:rsidRPr="0064136B">
        <w:rPr>
          <w:rFonts w:ascii="Times New Roman" w:hAnsi="Times New Roman" w:cs="Times New Roman"/>
          <w:b/>
          <w:i/>
          <w:sz w:val="24"/>
          <w:szCs w:val="24"/>
          <w:lang w:val="en-US"/>
        </w:rPr>
        <w:t>VI</w:t>
      </w:r>
      <w:r w:rsidRPr="0064136B">
        <w:rPr>
          <w:rFonts w:ascii="Times New Roman" w:hAnsi="Times New Roman" w:cs="Times New Roman"/>
          <w:b/>
          <w:i/>
          <w:sz w:val="24"/>
          <w:szCs w:val="24"/>
        </w:rPr>
        <w:t xml:space="preserve"> от 11.04.17г);</w:t>
      </w:r>
    </w:p>
    <w:p w:rsidR="007B5BA2" w:rsidRPr="0064136B" w:rsidRDefault="007B5BA2" w:rsidP="007B5BA2">
      <w:pPr>
        <w:pStyle w:val="a3"/>
        <w:jc w:val="both"/>
        <w:rPr>
          <w:rFonts w:ascii="Times New Roman" w:hAnsi="Times New Roman" w:cs="Times New Roman"/>
          <w:b/>
          <w:i/>
          <w:sz w:val="24"/>
          <w:szCs w:val="24"/>
        </w:rPr>
      </w:pPr>
      <w:r w:rsidRPr="0064136B">
        <w:rPr>
          <w:rFonts w:ascii="Times New Roman" w:hAnsi="Times New Roman" w:cs="Times New Roman"/>
          <w:b/>
          <w:i/>
          <w:sz w:val="24"/>
          <w:szCs w:val="24"/>
        </w:rPr>
        <w:t>-- Строка 3) Приложения № 3 с изменением (Закон № 84-ЗИ-</w:t>
      </w:r>
      <w:r w:rsidRPr="0064136B">
        <w:rPr>
          <w:rFonts w:ascii="Times New Roman" w:hAnsi="Times New Roman" w:cs="Times New Roman"/>
          <w:b/>
          <w:i/>
          <w:sz w:val="24"/>
          <w:szCs w:val="24"/>
          <w:lang w:val="en-US"/>
        </w:rPr>
        <w:t>VI</w:t>
      </w:r>
      <w:r w:rsidRPr="0064136B">
        <w:rPr>
          <w:rFonts w:ascii="Times New Roman" w:hAnsi="Times New Roman" w:cs="Times New Roman"/>
          <w:b/>
          <w:i/>
          <w:sz w:val="24"/>
          <w:szCs w:val="24"/>
        </w:rPr>
        <w:t xml:space="preserve"> от 11.04.17г);</w:t>
      </w:r>
    </w:p>
    <w:p w:rsidR="007B5BA2" w:rsidRPr="0064136B" w:rsidRDefault="007B5BA2" w:rsidP="007B5BA2">
      <w:pPr>
        <w:pStyle w:val="a3"/>
        <w:jc w:val="both"/>
        <w:rPr>
          <w:rFonts w:ascii="Times New Roman" w:hAnsi="Times New Roman" w:cs="Times New Roman"/>
          <w:b/>
          <w:i/>
          <w:sz w:val="24"/>
          <w:szCs w:val="24"/>
        </w:rPr>
      </w:pPr>
      <w:r w:rsidRPr="0064136B">
        <w:rPr>
          <w:rFonts w:ascii="Times New Roman" w:hAnsi="Times New Roman" w:cs="Times New Roman"/>
          <w:b/>
          <w:i/>
          <w:sz w:val="24"/>
          <w:szCs w:val="24"/>
        </w:rPr>
        <w:t>-- Приложение № 3 с дополнением (З-н № 128-ЗИ-</w:t>
      </w:r>
      <w:r w:rsidRPr="0064136B">
        <w:rPr>
          <w:rFonts w:ascii="Times New Roman" w:hAnsi="Times New Roman" w:cs="Times New Roman"/>
          <w:b/>
          <w:i/>
          <w:sz w:val="24"/>
          <w:szCs w:val="24"/>
          <w:lang w:val="en-US"/>
        </w:rPr>
        <w:t>V</w:t>
      </w:r>
      <w:r w:rsidRPr="0064136B">
        <w:rPr>
          <w:rFonts w:ascii="Times New Roman" w:hAnsi="Times New Roman" w:cs="Times New Roman"/>
          <w:b/>
          <w:i/>
          <w:sz w:val="24"/>
          <w:szCs w:val="24"/>
        </w:rPr>
        <w:t xml:space="preserve"> от 21.06.13г);</w:t>
      </w:r>
    </w:p>
    <w:p w:rsidR="007B5BA2" w:rsidRPr="0064136B" w:rsidRDefault="007B5BA2" w:rsidP="007B5BA2">
      <w:pPr>
        <w:pStyle w:val="a3"/>
        <w:jc w:val="both"/>
        <w:rPr>
          <w:rFonts w:ascii="Times New Roman" w:hAnsi="Times New Roman" w:cs="Times New Roman"/>
          <w:b/>
          <w:i/>
          <w:sz w:val="24"/>
          <w:szCs w:val="24"/>
        </w:rPr>
      </w:pPr>
      <w:r w:rsidRPr="0064136B">
        <w:rPr>
          <w:rFonts w:ascii="Times New Roman" w:hAnsi="Times New Roman" w:cs="Times New Roman"/>
          <w:b/>
          <w:i/>
          <w:sz w:val="24"/>
          <w:szCs w:val="24"/>
        </w:rPr>
        <w:t>-- Приложение № 3 с изменением (Закон № 357-ЗИД-</w:t>
      </w:r>
      <w:r w:rsidRPr="0064136B">
        <w:rPr>
          <w:rFonts w:ascii="Times New Roman" w:hAnsi="Times New Roman" w:cs="Times New Roman"/>
          <w:b/>
          <w:i/>
          <w:sz w:val="24"/>
          <w:szCs w:val="24"/>
          <w:lang w:val="en-US"/>
        </w:rPr>
        <w:t>VI</w:t>
      </w:r>
      <w:r w:rsidRPr="0064136B">
        <w:rPr>
          <w:rFonts w:ascii="Times New Roman" w:hAnsi="Times New Roman" w:cs="Times New Roman"/>
          <w:b/>
          <w:i/>
          <w:sz w:val="24"/>
          <w:szCs w:val="24"/>
        </w:rPr>
        <w:t xml:space="preserve"> от 28.12.18г);</w:t>
      </w:r>
    </w:p>
    <w:p w:rsidR="007B5BA2" w:rsidRPr="0064136B" w:rsidRDefault="007B5BA2" w:rsidP="007B5BA2">
      <w:pPr>
        <w:pStyle w:val="a3"/>
        <w:jc w:val="both"/>
        <w:rPr>
          <w:rFonts w:ascii="Times New Roman" w:hAnsi="Times New Roman" w:cs="Times New Roman"/>
          <w:b/>
          <w:i/>
          <w:sz w:val="24"/>
          <w:szCs w:val="24"/>
        </w:rPr>
      </w:pPr>
      <w:r w:rsidRPr="0064136B">
        <w:rPr>
          <w:rFonts w:ascii="Times New Roman" w:hAnsi="Times New Roman" w:cs="Times New Roman"/>
          <w:b/>
          <w:i/>
          <w:sz w:val="24"/>
          <w:szCs w:val="24"/>
        </w:rPr>
        <w:t>-- Подпункт г) Приложения № 3 в новой редакции (Закон № 57-ЗИ-</w:t>
      </w:r>
      <w:r w:rsidRPr="0064136B">
        <w:rPr>
          <w:rFonts w:ascii="Times New Roman" w:hAnsi="Times New Roman" w:cs="Times New Roman"/>
          <w:b/>
          <w:i/>
          <w:sz w:val="24"/>
          <w:szCs w:val="24"/>
          <w:lang w:val="en-US"/>
        </w:rPr>
        <w:t>VI</w:t>
      </w:r>
      <w:r w:rsidRPr="0064136B">
        <w:rPr>
          <w:rFonts w:ascii="Times New Roman" w:hAnsi="Times New Roman" w:cs="Times New Roman"/>
          <w:b/>
          <w:i/>
          <w:sz w:val="24"/>
          <w:szCs w:val="24"/>
        </w:rPr>
        <w:t xml:space="preserve"> от 30.03.20г).</w:t>
      </w:r>
    </w:p>
    <w:bookmarkEnd w:id="0"/>
    <w:p w:rsidR="002E396B" w:rsidRPr="00F95C84" w:rsidRDefault="002E396B" w:rsidP="007B5BA2">
      <w:pPr>
        <w:pStyle w:val="a3"/>
        <w:jc w:val="both"/>
        <w:rPr>
          <w:rFonts w:ascii="Times New Roman" w:hAnsi="Times New Roman" w:cs="Times New Roman"/>
          <w:b/>
          <w:i/>
          <w:sz w:val="24"/>
          <w:szCs w:val="24"/>
        </w:rPr>
      </w:pPr>
    </w:p>
    <w:p w:rsidR="007B5BA2" w:rsidRPr="002E396B" w:rsidRDefault="002E396B" w:rsidP="007B5BA2">
      <w:pPr>
        <w:pStyle w:val="a3"/>
        <w:jc w:val="both"/>
        <w:rPr>
          <w:rFonts w:ascii="Times New Roman" w:hAnsi="Times New Roman" w:cs="Times New Roman"/>
          <w:b/>
          <w:i/>
          <w:color w:val="538135" w:themeColor="accent6" w:themeShade="BF"/>
          <w:sz w:val="24"/>
          <w:szCs w:val="24"/>
        </w:rPr>
      </w:pPr>
      <w:r w:rsidRPr="002E396B">
        <w:rPr>
          <w:rFonts w:ascii="Times New Roman" w:hAnsi="Times New Roman" w:cs="Times New Roman"/>
          <w:b/>
          <w:i/>
          <w:color w:val="538135" w:themeColor="accent6" w:themeShade="BF"/>
          <w:sz w:val="24"/>
          <w:szCs w:val="24"/>
        </w:rPr>
        <w:t>-- ПРИЛОЖЕНИЕ № 3 В НОВОЙ РЕДАКЦИИ (Закон № 318-ЗИ-</w:t>
      </w:r>
      <w:r w:rsidRPr="002E396B">
        <w:rPr>
          <w:rFonts w:ascii="Times New Roman" w:hAnsi="Times New Roman" w:cs="Times New Roman"/>
          <w:b/>
          <w:i/>
          <w:color w:val="538135" w:themeColor="accent6" w:themeShade="BF"/>
          <w:sz w:val="24"/>
          <w:szCs w:val="24"/>
          <w:lang w:val="en-US"/>
        </w:rPr>
        <w:t>VII</w:t>
      </w:r>
      <w:r w:rsidRPr="002E396B">
        <w:rPr>
          <w:rFonts w:ascii="Times New Roman" w:hAnsi="Times New Roman" w:cs="Times New Roman"/>
          <w:b/>
          <w:i/>
          <w:color w:val="538135" w:themeColor="accent6" w:themeShade="BF"/>
          <w:sz w:val="24"/>
          <w:szCs w:val="24"/>
        </w:rPr>
        <w:t xml:space="preserve"> от 18.12.24г);</w:t>
      </w:r>
    </w:p>
    <w:p w:rsidR="007B5BA2" w:rsidRPr="002E396B" w:rsidRDefault="007B5BA2" w:rsidP="002E396B">
      <w:pPr>
        <w:pStyle w:val="a3"/>
        <w:jc w:val="both"/>
        <w:rPr>
          <w:rFonts w:ascii="Times New Roman" w:hAnsi="Times New Roman" w:cs="Times New Roman"/>
          <w:b/>
          <w:color w:val="538135" w:themeColor="accent6" w:themeShade="BF"/>
          <w:sz w:val="16"/>
          <w:szCs w:val="16"/>
        </w:rPr>
      </w:pPr>
    </w:p>
    <w:p w:rsidR="00A714A5" w:rsidRPr="00A714A5" w:rsidRDefault="00A714A5" w:rsidP="00A714A5">
      <w:pPr>
        <w:ind w:left="4678"/>
        <w:jc w:val="both"/>
        <w:rPr>
          <w:sz w:val="28"/>
          <w:szCs w:val="28"/>
        </w:rPr>
      </w:pPr>
    </w:p>
    <w:p w:rsidR="00A714A5" w:rsidRPr="00A714A5" w:rsidRDefault="00A714A5" w:rsidP="00A714A5">
      <w:pPr>
        <w:jc w:val="center"/>
        <w:rPr>
          <w:b/>
          <w:sz w:val="28"/>
          <w:szCs w:val="28"/>
        </w:rPr>
      </w:pPr>
      <w:r w:rsidRPr="00A714A5">
        <w:rPr>
          <w:b/>
          <w:sz w:val="28"/>
          <w:szCs w:val="28"/>
        </w:rPr>
        <w:t xml:space="preserve">Ставки земельного налога на </w:t>
      </w:r>
      <w:smartTag w:uri="urn:schemas-microsoft-com:office:smarttags" w:element="metricconverter">
        <w:smartTagPr>
          <w:attr w:name="ProductID" w:val="1 кв. м"/>
        </w:smartTagPr>
        <w:r w:rsidRPr="00A714A5">
          <w:rPr>
            <w:b/>
            <w:sz w:val="28"/>
            <w:szCs w:val="28"/>
          </w:rPr>
          <w:t>1 кв. м</w:t>
        </w:r>
      </w:smartTag>
      <w:r w:rsidRPr="00A714A5">
        <w:rPr>
          <w:b/>
          <w:sz w:val="28"/>
          <w:szCs w:val="28"/>
        </w:rPr>
        <w:t xml:space="preserve"> земель, находящихся </w:t>
      </w:r>
    </w:p>
    <w:p w:rsidR="00A714A5" w:rsidRPr="00A714A5" w:rsidRDefault="00A714A5" w:rsidP="00A714A5">
      <w:pPr>
        <w:jc w:val="center"/>
        <w:rPr>
          <w:b/>
          <w:sz w:val="28"/>
          <w:szCs w:val="28"/>
        </w:rPr>
      </w:pPr>
      <w:r w:rsidRPr="00A714A5">
        <w:rPr>
          <w:b/>
          <w:sz w:val="28"/>
          <w:szCs w:val="28"/>
        </w:rPr>
        <w:t>в черте населенных пунктов (РУ МЗП)</w:t>
      </w:r>
    </w:p>
    <w:p w:rsidR="00A714A5" w:rsidRPr="00A714A5" w:rsidRDefault="00A714A5" w:rsidP="00A714A5">
      <w:pPr>
        <w:ind w:firstLine="720"/>
        <w:jc w:val="both"/>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1559"/>
        <w:gridCol w:w="1560"/>
      </w:tblGrid>
      <w:tr w:rsidR="00A714A5" w:rsidRPr="00A714A5" w:rsidTr="000D4EB3">
        <w:tc>
          <w:tcPr>
            <w:tcW w:w="6374" w:type="dxa"/>
            <w:vMerge w:val="restart"/>
            <w:vAlign w:val="center"/>
          </w:tcPr>
          <w:p w:rsidR="00A714A5" w:rsidRPr="00A714A5" w:rsidRDefault="00A714A5" w:rsidP="00A714A5">
            <w:pPr>
              <w:jc w:val="center"/>
              <w:rPr>
                <w:b/>
                <w:sz w:val="26"/>
                <w:szCs w:val="26"/>
              </w:rPr>
            </w:pPr>
            <w:r w:rsidRPr="00A714A5">
              <w:rPr>
                <w:b/>
                <w:sz w:val="26"/>
                <w:szCs w:val="26"/>
              </w:rPr>
              <w:t>Наименование</w:t>
            </w:r>
          </w:p>
        </w:tc>
        <w:tc>
          <w:tcPr>
            <w:tcW w:w="3119" w:type="dxa"/>
            <w:gridSpan w:val="2"/>
          </w:tcPr>
          <w:p w:rsidR="00A714A5" w:rsidRPr="00A714A5" w:rsidRDefault="00A714A5" w:rsidP="00A714A5">
            <w:pPr>
              <w:jc w:val="center"/>
              <w:rPr>
                <w:b/>
                <w:sz w:val="26"/>
                <w:szCs w:val="26"/>
              </w:rPr>
            </w:pPr>
            <w:r w:rsidRPr="00A714A5">
              <w:rPr>
                <w:b/>
                <w:sz w:val="26"/>
                <w:szCs w:val="26"/>
              </w:rPr>
              <w:t>Ставки</w:t>
            </w:r>
          </w:p>
        </w:tc>
      </w:tr>
      <w:tr w:rsidR="00A714A5" w:rsidRPr="00A714A5" w:rsidTr="000D4EB3">
        <w:tc>
          <w:tcPr>
            <w:tcW w:w="6374" w:type="dxa"/>
            <w:vMerge/>
          </w:tcPr>
          <w:p w:rsidR="00A714A5" w:rsidRPr="00A714A5" w:rsidRDefault="00A714A5" w:rsidP="00A714A5">
            <w:pPr>
              <w:rPr>
                <w:b/>
                <w:sz w:val="26"/>
                <w:szCs w:val="26"/>
              </w:rPr>
            </w:pPr>
          </w:p>
        </w:tc>
        <w:tc>
          <w:tcPr>
            <w:tcW w:w="1559" w:type="dxa"/>
            <w:vAlign w:val="center"/>
          </w:tcPr>
          <w:p w:rsidR="00A714A5" w:rsidRPr="00A714A5" w:rsidRDefault="00A714A5" w:rsidP="00A714A5">
            <w:pPr>
              <w:ind w:left="-107" w:right="-108"/>
              <w:jc w:val="center"/>
              <w:rPr>
                <w:b/>
                <w:sz w:val="26"/>
                <w:szCs w:val="26"/>
              </w:rPr>
            </w:pPr>
            <w:r w:rsidRPr="00A714A5">
              <w:rPr>
                <w:b/>
                <w:sz w:val="26"/>
                <w:szCs w:val="26"/>
              </w:rPr>
              <w:t xml:space="preserve">Сельские </w:t>
            </w:r>
          </w:p>
          <w:p w:rsidR="00A714A5" w:rsidRPr="00A714A5" w:rsidRDefault="00A714A5" w:rsidP="00A714A5">
            <w:pPr>
              <w:ind w:left="-107" w:right="-108"/>
              <w:jc w:val="center"/>
              <w:rPr>
                <w:b/>
                <w:sz w:val="26"/>
                <w:szCs w:val="26"/>
              </w:rPr>
            </w:pPr>
            <w:r w:rsidRPr="00A714A5">
              <w:rPr>
                <w:b/>
                <w:sz w:val="26"/>
                <w:szCs w:val="26"/>
              </w:rPr>
              <w:t>населенные пункты</w:t>
            </w:r>
          </w:p>
        </w:tc>
        <w:tc>
          <w:tcPr>
            <w:tcW w:w="1560" w:type="dxa"/>
            <w:vAlign w:val="center"/>
          </w:tcPr>
          <w:p w:rsidR="00A714A5" w:rsidRPr="00A714A5" w:rsidRDefault="00A714A5" w:rsidP="00A714A5">
            <w:pPr>
              <w:ind w:left="-101" w:right="-107"/>
              <w:jc w:val="center"/>
              <w:rPr>
                <w:b/>
                <w:sz w:val="26"/>
                <w:szCs w:val="26"/>
              </w:rPr>
            </w:pPr>
            <w:r w:rsidRPr="00A714A5">
              <w:rPr>
                <w:b/>
                <w:sz w:val="26"/>
                <w:szCs w:val="26"/>
              </w:rPr>
              <w:t>Города, поселки городского типа</w:t>
            </w:r>
          </w:p>
        </w:tc>
      </w:tr>
      <w:tr w:rsidR="00A714A5" w:rsidRPr="00A714A5" w:rsidTr="000D4EB3">
        <w:tc>
          <w:tcPr>
            <w:tcW w:w="6374" w:type="dxa"/>
          </w:tcPr>
          <w:p w:rsidR="00A714A5" w:rsidRPr="00A714A5" w:rsidRDefault="00A714A5" w:rsidP="00A714A5">
            <w:pPr>
              <w:rPr>
                <w:sz w:val="28"/>
                <w:szCs w:val="28"/>
              </w:rPr>
            </w:pPr>
            <w:r w:rsidRPr="00A714A5">
              <w:rPr>
                <w:sz w:val="28"/>
                <w:szCs w:val="28"/>
              </w:rPr>
              <w:t xml:space="preserve">1) </w:t>
            </w:r>
            <w:r w:rsidRPr="00A714A5">
              <w:rPr>
                <w:bCs/>
                <w:sz w:val="28"/>
                <w:szCs w:val="28"/>
              </w:rPr>
              <w:t>земли населенных пунктов, не предусмотренные строками 2)–3) настоящего Приложения</w:t>
            </w:r>
            <w:r w:rsidRPr="00A714A5">
              <w:rPr>
                <w:b/>
                <w:bCs/>
                <w:sz w:val="28"/>
                <w:szCs w:val="28"/>
              </w:rPr>
              <w:t>*</w:t>
            </w:r>
          </w:p>
        </w:tc>
        <w:tc>
          <w:tcPr>
            <w:tcW w:w="1559" w:type="dxa"/>
            <w:vAlign w:val="center"/>
          </w:tcPr>
          <w:p w:rsidR="00A714A5" w:rsidRPr="00A714A5" w:rsidRDefault="00A714A5" w:rsidP="00A714A5">
            <w:pPr>
              <w:jc w:val="center"/>
              <w:rPr>
                <w:sz w:val="28"/>
                <w:szCs w:val="28"/>
              </w:rPr>
            </w:pPr>
            <w:r w:rsidRPr="00A714A5">
              <w:rPr>
                <w:sz w:val="28"/>
                <w:szCs w:val="28"/>
              </w:rPr>
              <w:t>0,08</w:t>
            </w:r>
          </w:p>
        </w:tc>
        <w:tc>
          <w:tcPr>
            <w:tcW w:w="1560" w:type="dxa"/>
            <w:vAlign w:val="center"/>
          </w:tcPr>
          <w:p w:rsidR="00A714A5" w:rsidRPr="00A714A5" w:rsidRDefault="00A714A5" w:rsidP="00A714A5">
            <w:pPr>
              <w:jc w:val="center"/>
              <w:rPr>
                <w:sz w:val="28"/>
                <w:szCs w:val="28"/>
              </w:rPr>
            </w:pPr>
            <w:r w:rsidRPr="00A714A5">
              <w:rPr>
                <w:sz w:val="28"/>
                <w:szCs w:val="28"/>
              </w:rPr>
              <w:t>0,14</w:t>
            </w:r>
          </w:p>
        </w:tc>
      </w:tr>
      <w:tr w:rsidR="00A714A5" w:rsidRPr="00A714A5" w:rsidTr="000D4EB3">
        <w:tc>
          <w:tcPr>
            <w:tcW w:w="6374" w:type="dxa"/>
          </w:tcPr>
          <w:p w:rsidR="00A714A5" w:rsidRPr="00A714A5" w:rsidRDefault="00A714A5" w:rsidP="00A714A5">
            <w:pPr>
              <w:rPr>
                <w:sz w:val="28"/>
                <w:szCs w:val="28"/>
              </w:rPr>
            </w:pPr>
            <w:r w:rsidRPr="00A714A5">
              <w:rPr>
                <w:sz w:val="28"/>
                <w:szCs w:val="28"/>
              </w:rPr>
              <w:t>2) земельные участки, занятые жилищным фондом, находящимся на балансе юридических лиц; объектами социально-культурного и бытового назначения</w:t>
            </w:r>
            <w:r w:rsidRPr="00A714A5">
              <w:rPr>
                <w:b/>
                <w:sz w:val="28"/>
                <w:szCs w:val="28"/>
              </w:rPr>
              <w:t>*</w:t>
            </w:r>
          </w:p>
        </w:tc>
        <w:tc>
          <w:tcPr>
            <w:tcW w:w="1559" w:type="dxa"/>
            <w:vAlign w:val="center"/>
          </w:tcPr>
          <w:p w:rsidR="00A714A5" w:rsidRPr="00A714A5" w:rsidRDefault="00A714A5" w:rsidP="00A714A5">
            <w:pPr>
              <w:jc w:val="center"/>
              <w:rPr>
                <w:sz w:val="28"/>
                <w:szCs w:val="28"/>
              </w:rPr>
            </w:pPr>
            <w:r w:rsidRPr="00A714A5">
              <w:rPr>
                <w:sz w:val="28"/>
                <w:szCs w:val="28"/>
              </w:rPr>
              <w:t>0,023</w:t>
            </w:r>
          </w:p>
        </w:tc>
        <w:tc>
          <w:tcPr>
            <w:tcW w:w="1560" w:type="dxa"/>
            <w:vAlign w:val="center"/>
          </w:tcPr>
          <w:p w:rsidR="00A714A5" w:rsidRPr="00A714A5" w:rsidRDefault="00A714A5" w:rsidP="00A714A5">
            <w:pPr>
              <w:jc w:val="center"/>
              <w:rPr>
                <w:sz w:val="28"/>
                <w:szCs w:val="28"/>
              </w:rPr>
            </w:pPr>
            <w:r w:rsidRPr="00A714A5">
              <w:rPr>
                <w:sz w:val="28"/>
                <w:szCs w:val="28"/>
              </w:rPr>
              <w:t>0,046</w:t>
            </w:r>
          </w:p>
        </w:tc>
      </w:tr>
      <w:tr w:rsidR="00A714A5" w:rsidRPr="00A714A5" w:rsidTr="000D4EB3">
        <w:trPr>
          <w:trHeight w:val="1416"/>
        </w:trPr>
        <w:tc>
          <w:tcPr>
            <w:tcW w:w="6374" w:type="dxa"/>
          </w:tcPr>
          <w:p w:rsidR="00A714A5" w:rsidRPr="00A714A5" w:rsidRDefault="00A714A5" w:rsidP="00A714A5">
            <w:pPr>
              <w:rPr>
                <w:sz w:val="28"/>
                <w:szCs w:val="28"/>
              </w:rPr>
            </w:pPr>
            <w:r w:rsidRPr="00A714A5">
              <w:rPr>
                <w:rFonts w:cs="Courier New"/>
                <w:sz w:val="28"/>
                <w:szCs w:val="28"/>
              </w:rPr>
              <w:t>3) земельные участки, предоставляемые для сельскохозяйственных целей и (или) занятые подсобными строениями сельскохозяйственных организаций</w:t>
            </w:r>
            <w:r w:rsidRPr="00A714A5">
              <w:rPr>
                <w:rFonts w:cs="Courier New"/>
                <w:b/>
                <w:sz w:val="28"/>
                <w:szCs w:val="28"/>
              </w:rPr>
              <w:t>*</w:t>
            </w:r>
          </w:p>
        </w:tc>
        <w:tc>
          <w:tcPr>
            <w:tcW w:w="1559" w:type="dxa"/>
            <w:vAlign w:val="center"/>
          </w:tcPr>
          <w:p w:rsidR="00A714A5" w:rsidRPr="00A714A5" w:rsidRDefault="00A714A5" w:rsidP="00A714A5">
            <w:pPr>
              <w:jc w:val="center"/>
              <w:rPr>
                <w:sz w:val="28"/>
                <w:szCs w:val="28"/>
              </w:rPr>
            </w:pPr>
            <w:r w:rsidRPr="00A714A5">
              <w:rPr>
                <w:sz w:val="28"/>
                <w:szCs w:val="28"/>
              </w:rPr>
              <w:t>0,006</w:t>
            </w:r>
          </w:p>
        </w:tc>
        <w:tc>
          <w:tcPr>
            <w:tcW w:w="1560" w:type="dxa"/>
            <w:vAlign w:val="center"/>
          </w:tcPr>
          <w:p w:rsidR="00A714A5" w:rsidRPr="00A714A5" w:rsidRDefault="00A714A5" w:rsidP="00A714A5">
            <w:pPr>
              <w:jc w:val="center"/>
              <w:rPr>
                <w:sz w:val="28"/>
                <w:szCs w:val="28"/>
              </w:rPr>
            </w:pPr>
            <w:r w:rsidRPr="00A714A5">
              <w:rPr>
                <w:sz w:val="28"/>
                <w:szCs w:val="28"/>
              </w:rPr>
              <w:t>0,012</w:t>
            </w:r>
          </w:p>
        </w:tc>
      </w:tr>
    </w:tbl>
    <w:p w:rsidR="00A714A5" w:rsidRPr="00A714A5" w:rsidRDefault="00A714A5" w:rsidP="00A714A5">
      <w:pPr>
        <w:ind w:firstLine="709"/>
        <w:jc w:val="both"/>
        <w:rPr>
          <w:sz w:val="28"/>
          <w:szCs w:val="28"/>
        </w:rPr>
      </w:pPr>
      <w:r w:rsidRPr="00A714A5">
        <w:rPr>
          <w:sz w:val="28"/>
          <w:szCs w:val="28"/>
        </w:rPr>
        <w:t xml:space="preserve">*за исключением субъектов, в отношении которых ставки земельного налога установлены в соответствии с пунктами 1 и 2 настоящего Приложения.  </w:t>
      </w:r>
    </w:p>
    <w:p w:rsidR="00A714A5" w:rsidRPr="00A714A5" w:rsidRDefault="00A714A5" w:rsidP="00A714A5">
      <w:pPr>
        <w:ind w:firstLine="709"/>
        <w:jc w:val="both"/>
        <w:rPr>
          <w:sz w:val="28"/>
          <w:szCs w:val="28"/>
        </w:rPr>
      </w:pPr>
      <w:r w:rsidRPr="00A714A5">
        <w:rPr>
          <w:sz w:val="28"/>
          <w:szCs w:val="28"/>
        </w:rPr>
        <w:lastRenderedPageBreak/>
        <w:t xml:space="preserve">1. Установить ставку земельного налога в размере 0,002 РУ МЗП </w:t>
      </w:r>
      <w:r w:rsidRPr="00A714A5">
        <w:rPr>
          <w:sz w:val="28"/>
          <w:szCs w:val="28"/>
        </w:rPr>
        <w:br/>
        <w:t xml:space="preserve">за 1 кв. м (независимо от местонахождения земельного участка) за земельные участки, предоставленные: </w:t>
      </w:r>
    </w:p>
    <w:p w:rsidR="00A714A5" w:rsidRPr="00A714A5" w:rsidRDefault="00A714A5" w:rsidP="00A714A5">
      <w:pPr>
        <w:ind w:firstLine="709"/>
        <w:jc w:val="both"/>
        <w:rPr>
          <w:sz w:val="28"/>
          <w:szCs w:val="28"/>
        </w:rPr>
      </w:pPr>
      <w:r w:rsidRPr="00A714A5">
        <w:rPr>
          <w:sz w:val="28"/>
          <w:szCs w:val="28"/>
        </w:rPr>
        <w:t xml:space="preserve">а) физическим лицам под объекты жилищного фонда, приусадебные участки, личные подсобные хозяйства, дачные участки, индивидуальные и кооперативные гаражи; </w:t>
      </w:r>
    </w:p>
    <w:p w:rsidR="00A714A5" w:rsidRPr="00A714A5" w:rsidRDefault="00A714A5" w:rsidP="00A714A5">
      <w:pPr>
        <w:ind w:firstLine="709"/>
        <w:jc w:val="both"/>
        <w:rPr>
          <w:sz w:val="28"/>
          <w:szCs w:val="28"/>
        </w:rPr>
      </w:pPr>
      <w:r w:rsidRPr="00A714A5">
        <w:rPr>
          <w:sz w:val="28"/>
          <w:szCs w:val="28"/>
        </w:rPr>
        <w:t>б) садово-огородническим товариществам и потребительским кооперативам;</w:t>
      </w:r>
    </w:p>
    <w:p w:rsidR="00A714A5" w:rsidRPr="00A714A5" w:rsidRDefault="00A714A5" w:rsidP="00A714A5">
      <w:pPr>
        <w:ind w:firstLine="709"/>
        <w:jc w:val="both"/>
        <w:rPr>
          <w:sz w:val="28"/>
          <w:szCs w:val="28"/>
        </w:rPr>
      </w:pPr>
      <w:r w:rsidRPr="00A714A5">
        <w:rPr>
          <w:sz w:val="28"/>
          <w:szCs w:val="28"/>
        </w:rPr>
        <w:t>в) жилищно-строительным кооперативам, жилищным кооперативам, строительным кооперативам, товариществам собственников жилья;</w:t>
      </w:r>
    </w:p>
    <w:p w:rsidR="00A714A5" w:rsidRPr="00A714A5" w:rsidRDefault="00A714A5" w:rsidP="00A714A5">
      <w:pPr>
        <w:ind w:firstLine="709"/>
        <w:jc w:val="both"/>
        <w:rPr>
          <w:sz w:val="28"/>
          <w:szCs w:val="28"/>
        </w:rPr>
      </w:pPr>
      <w:r w:rsidRPr="00A714A5">
        <w:rPr>
          <w:sz w:val="28"/>
          <w:szCs w:val="28"/>
        </w:rPr>
        <w:t xml:space="preserve">г) организациям, за исключением организаций, указанных </w:t>
      </w:r>
      <w:r w:rsidRPr="00A714A5">
        <w:rPr>
          <w:sz w:val="28"/>
          <w:szCs w:val="28"/>
        </w:rPr>
        <w:br/>
        <w:t>в подпункте в) настоящего пункта, осуществляющим управление многоквартирным жилым домом, за земли, занятые жилищным фондом, а также придомовые территории.</w:t>
      </w:r>
    </w:p>
    <w:p w:rsidR="00A714A5" w:rsidRPr="00A714A5" w:rsidRDefault="00A714A5" w:rsidP="00A714A5">
      <w:pPr>
        <w:ind w:firstLine="709"/>
        <w:jc w:val="both"/>
        <w:rPr>
          <w:sz w:val="28"/>
          <w:szCs w:val="28"/>
        </w:rPr>
      </w:pPr>
      <w:r w:rsidRPr="00A714A5">
        <w:rPr>
          <w:sz w:val="28"/>
          <w:szCs w:val="28"/>
        </w:rPr>
        <w:t xml:space="preserve">2. Установить ставку земельного налога в размере 0,0025 РУ МЗП </w:t>
      </w:r>
      <w:r w:rsidRPr="00A714A5">
        <w:rPr>
          <w:sz w:val="28"/>
          <w:szCs w:val="28"/>
        </w:rPr>
        <w:br/>
        <w:t>за 1 кв. м (независимо от местонахождения земельного участка) за земельные участки, предоставленные для сельскохозяйственных целей и (или) занятые строениями и сооружениями сельскохозяйственного назначения (в том числе земельные участки, необходимые для содержания таких объектов (санитарно-защитные и технические зоны)), предоставленные сельскохозяйственным товаропроизводителям. Для целей реализации настоящего пункта под сельскохозяйственными товаропроизводителями понимаются:</w:t>
      </w:r>
    </w:p>
    <w:p w:rsidR="00A714A5" w:rsidRPr="00A714A5" w:rsidRDefault="00A714A5" w:rsidP="00A714A5">
      <w:pPr>
        <w:ind w:firstLine="709"/>
        <w:jc w:val="both"/>
        <w:rPr>
          <w:sz w:val="28"/>
          <w:szCs w:val="28"/>
        </w:rPr>
      </w:pPr>
      <w:r w:rsidRPr="00A714A5">
        <w:rPr>
          <w:sz w:val="28"/>
          <w:szCs w:val="28"/>
        </w:rPr>
        <w:t xml:space="preserve">а) организации, занимающиеся производством (переработкой, сбытом) сельскохозяйственной продукции, имеющие по итогам предшествующего финансового года право на применение льготы, предусмотренной </w:t>
      </w:r>
      <w:r w:rsidRPr="00A714A5">
        <w:rPr>
          <w:sz w:val="28"/>
          <w:szCs w:val="28"/>
        </w:rPr>
        <w:br/>
        <w:t>подпунктом а) пункта 2 статьи 6 Закона Приднестровской Молдавской Республики «О налоге на доходы организаций»;</w:t>
      </w:r>
    </w:p>
    <w:p w:rsidR="00A714A5" w:rsidRPr="00A714A5" w:rsidRDefault="00A714A5" w:rsidP="00A714A5">
      <w:pPr>
        <w:ind w:firstLine="709"/>
        <w:jc w:val="both"/>
        <w:rPr>
          <w:sz w:val="28"/>
          <w:szCs w:val="28"/>
        </w:rPr>
      </w:pPr>
      <w:r w:rsidRPr="00A714A5">
        <w:rPr>
          <w:sz w:val="28"/>
          <w:szCs w:val="28"/>
        </w:rPr>
        <w:t>б) индивидуальные предприниматели, осуществляющие деятельность по ведению крестьянского (фермерского) хозяйства;</w:t>
      </w:r>
    </w:p>
    <w:p w:rsidR="00A714A5" w:rsidRPr="00A714A5" w:rsidRDefault="00A714A5" w:rsidP="00A714A5">
      <w:pPr>
        <w:ind w:firstLine="709"/>
        <w:jc w:val="both"/>
        <w:rPr>
          <w:sz w:val="28"/>
          <w:szCs w:val="28"/>
        </w:rPr>
      </w:pPr>
      <w:r w:rsidRPr="00A714A5">
        <w:rPr>
          <w:sz w:val="28"/>
          <w:szCs w:val="28"/>
        </w:rPr>
        <w:t>в) вновь созданные сельскохозяйственные организации, занимающиеся производством (переработкой, сбытом) сельскохозяйственной продукции собственного производства</w:t>
      </w:r>
      <w:r w:rsidRPr="00A714A5">
        <w:rPr>
          <w:color w:val="FF0000"/>
          <w:sz w:val="28"/>
          <w:szCs w:val="28"/>
        </w:rPr>
        <w:t xml:space="preserve">, </w:t>
      </w:r>
      <w:r w:rsidRPr="00A714A5">
        <w:rPr>
          <w:sz w:val="28"/>
          <w:szCs w:val="28"/>
        </w:rPr>
        <w:t xml:space="preserve">в течение первого отчетного года деятельности, при условии предоставления в налоговый орган в течение 1 (одного) месяца после государственной регистрации заявления о применении указанной ставки налога.  </w:t>
      </w:r>
    </w:p>
    <w:p w:rsidR="00A714A5" w:rsidRPr="00A714A5" w:rsidRDefault="00A714A5" w:rsidP="00A714A5">
      <w:pPr>
        <w:ind w:firstLine="709"/>
        <w:jc w:val="both"/>
        <w:rPr>
          <w:bCs/>
          <w:sz w:val="28"/>
          <w:szCs w:val="28"/>
          <w:shd w:val="clear" w:color="auto" w:fill="FFFFFF"/>
        </w:rPr>
      </w:pPr>
      <w:r w:rsidRPr="00A714A5">
        <w:rPr>
          <w:rFonts w:eastAsiaTheme="minorHAnsi"/>
          <w:sz w:val="28"/>
          <w:szCs w:val="28"/>
          <w:lang w:eastAsia="en-US"/>
        </w:rPr>
        <w:t xml:space="preserve">Вновь созданные сельскохозяйственные организации, предусмотренные подпунктом в) части первой настоящего пункта, у которых по итогам отчетного года выручка от реализации сельскохозяйственной продукции собственного производства и продуктов ее переработки составила менее </w:t>
      </w:r>
      <w:r w:rsidRPr="00A714A5">
        <w:rPr>
          <w:rFonts w:eastAsiaTheme="minorHAnsi"/>
          <w:sz w:val="28"/>
          <w:szCs w:val="28"/>
          <w:lang w:eastAsia="en-US"/>
        </w:rPr>
        <w:br/>
        <w:t xml:space="preserve">70 процентов от общей суммы дохода (выручки от реализации продукции, товаров, выполненных работ, оказанных услуг, других операционных доходов (за исключением доходов от курсовых валютных разниц, субсидий и дотаций, выделяемых из консолидированного бюджета), доходов от инвестиционной деятельности, доходов от финансовой деятельности), обязаны в срок </w:t>
      </w:r>
      <w:r w:rsidRPr="00A714A5">
        <w:rPr>
          <w:rFonts w:eastAsiaTheme="minorHAnsi"/>
          <w:sz w:val="28"/>
          <w:szCs w:val="28"/>
          <w:lang w:eastAsia="en-US"/>
        </w:rPr>
        <w:br/>
        <w:t xml:space="preserve">по 25 февраля года, следующего за отчетным, предоставить уточненные </w:t>
      </w:r>
      <w:r w:rsidRPr="00A714A5">
        <w:rPr>
          <w:rFonts w:eastAsiaTheme="minorHAnsi"/>
          <w:sz w:val="28"/>
          <w:szCs w:val="28"/>
          <w:lang w:eastAsia="en-US"/>
        </w:rPr>
        <w:lastRenderedPageBreak/>
        <w:t>расчеты и в течение 5 (пяти) рабочих дней после сдачи расчетов произвести уплату земельного налога в общеустановленном порядке (в соответствии со ставками таблицы настоящего Приложения) без применения к ним штрафных и финансовых санкций.</w:t>
      </w:r>
    </w:p>
    <w:p w:rsidR="00D93029" w:rsidRDefault="0064136B" w:rsidP="00A714A5">
      <w:pPr>
        <w:pStyle w:val="a3"/>
        <w:ind w:firstLine="720"/>
        <w:jc w:val="center"/>
      </w:pPr>
    </w:p>
    <w:sectPr w:rsidR="00D93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BA2"/>
    <w:rsid w:val="001177C4"/>
    <w:rsid w:val="002E396B"/>
    <w:rsid w:val="003B5C1F"/>
    <w:rsid w:val="005744AA"/>
    <w:rsid w:val="0064136B"/>
    <w:rsid w:val="007B5BA2"/>
    <w:rsid w:val="00A714A5"/>
    <w:rsid w:val="00B03C52"/>
    <w:rsid w:val="00C53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108B88"/>
  <w15:chartTrackingRefBased/>
  <w15:docId w15:val="{43A919DC-1EFE-4E59-8A3D-1EC5237B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B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Текст Знак2,Текст Знак1 Знак Знак,Текст Знак Знак Знак Знак,Знак Знак Знак Знак Знак,Знак Знак Знак Знак1, Знак Знак Знак Знак Знак,Знак Знак,Текст Знак1 Знак1,Текст Знак Знак, "/>
    <w:basedOn w:val="a"/>
    <w:link w:val="1"/>
    <w:rsid w:val="007B5BA2"/>
    <w:rPr>
      <w:rFonts w:ascii="Courier New" w:hAnsi="Courier New" w:cs="Courier New"/>
      <w:sz w:val="20"/>
      <w:szCs w:val="20"/>
    </w:rPr>
  </w:style>
  <w:style w:type="character" w:customStyle="1" w:styleId="a4">
    <w:name w:val="Текст Знак"/>
    <w:basedOn w:val="a0"/>
    <w:uiPriority w:val="99"/>
    <w:semiHidden/>
    <w:rsid w:val="007B5BA2"/>
    <w:rPr>
      <w:rFonts w:ascii="Consolas" w:eastAsia="Times New Roman" w:hAnsi="Consolas" w:cs="Times New Roman"/>
      <w:sz w:val="21"/>
      <w:szCs w:val="21"/>
      <w:lang w:eastAsia="ru-RU"/>
    </w:rPr>
  </w:style>
  <w:style w:type="character" w:customStyle="1" w:styleId="1">
    <w:name w:val="Текст Знак1"/>
    <w:aliases w:val="Текст Знак1 Знак Знак1,Текст Знак Знак Знак Знак1,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w:link w:val="a3"/>
    <w:rsid w:val="007B5BA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84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5</cp:revision>
  <dcterms:created xsi:type="dcterms:W3CDTF">2024-12-18T14:40:00Z</dcterms:created>
  <dcterms:modified xsi:type="dcterms:W3CDTF">2024-12-18T14:44:00Z</dcterms:modified>
</cp:coreProperties>
</file>