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C4" w:rsidRPr="000626A7" w:rsidRDefault="00B676C4" w:rsidP="00B676C4">
      <w:pPr>
        <w:pStyle w:val="a4"/>
        <w:jc w:val="both"/>
      </w:pPr>
      <w:bookmarkStart w:id="0" w:name="_Hlk184998035"/>
      <w:r w:rsidRPr="000626A7">
        <w:t>Сравнительная таблица</w:t>
      </w:r>
    </w:p>
    <w:p w:rsidR="00B676C4" w:rsidRPr="000626A7" w:rsidRDefault="00B676C4" w:rsidP="00B676C4">
      <w:pPr>
        <w:pStyle w:val="a4"/>
        <w:jc w:val="both"/>
      </w:pPr>
      <w:r w:rsidRPr="000626A7">
        <w:t>к проекту закона Приднестровской Молдавской Республики</w:t>
      </w:r>
    </w:p>
    <w:p w:rsidR="00B676C4" w:rsidRPr="000626A7" w:rsidRDefault="00B676C4" w:rsidP="00B676C4">
      <w:pPr>
        <w:pStyle w:val="a4"/>
        <w:jc w:val="both"/>
      </w:pPr>
      <w:r w:rsidRPr="000626A7">
        <w:t>«О внесении изменений и дополнений в Таможенный кодекс Приднестровской Молдавской Республики</w:t>
      </w:r>
    </w:p>
    <w:p w:rsidR="00B676C4" w:rsidRPr="000626A7" w:rsidRDefault="00B676C4" w:rsidP="00B676C4">
      <w:pPr>
        <w:pStyle w:val="a4"/>
        <w:jc w:val="both"/>
      </w:pPr>
    </w:p>
    <w:tbl>
      <w:tblPr>
        <w:tblStyle w:val="a3"/>
        <w:tblW w:w="10632" w:type="dxa"/>
        <w:tblInd w:w="-601" w:type="dxa"/>
        <w:tblLayout w:type="fixed"/>
        <w:tblLook w:val="04A0" w:firstRow="1" w:lastRow="0" w:firstColumn="1" w:lastColumn="0" w:noHBand="0" w:noVBand="1"/>
      </w:tblPr>
      <w:tblGrid>
        <w:gridCol w:w="425"/>
        <w:gridCol w:w="5104"/>
        <w:gridCol w:w="5103"/>
      </w:tblGrid>
      <w:tr w:rsidR="00B676C4" w:rsidRPr="000626A7" w:rsidTr="006016C5">
        <w:tc>
          <w:tcPr>
            <w:tcW w:w="425" w:type="dxa"/>
          </w:tcPr>
          <w:p w:rsidR="00B676C4" w:rsidRPr="000626A7" w:rsidRDefault="00B676C4" w:rsidP="006016C5">
            <w:pPr>
              <w:pStyle w:val="a4"/>
              <w:jc w:val="both"/>
            </w:pPr>
            <w:r w:rsidRPr="000626A7">
              <w:t>№</w:t>
            </w:r>
          </w:p>
          <w:p w:rsidR="00B676C4" w:rsidRPr="000626A7" w:rsidRDefault="00B676C4" w:rsidP="006016C5">
            <w:pPr>
              <w:pStyle w:val="a4"/>
              <w:jc w:val="both"/>
            </w:pPr>
            <w:r w:rsidRPr="000626A7">
              <w:t>п/п</w:t>
            </w:r>
          </w:p>
        </w:tc>
        <w:tc>
          <w:tcPr>
            <w:tcW w:w="5104" w:type="dxa"/>
          </w:tcPr>
          <w:p w:rsidR="00B676C4" w:rsidRPr="000626A7" w:rsidRDefault="00B676C4" w:rsidP="006016C5">
            <w:pPr>
              <w:pStyle w:val="a4"/>
              <w:jc w:val="both"/>
            </w:pPr>
            <w:r w:rsidRPr="000626A7">
              <w:t>Текущая редакция</w:t>
            </w:r>
          </w:p>
        </w:tc>
        <w:tc>
          <w:tcPr>
            <w:tcW w:w="5103" w:type="dxa"/>
          </w:tcPr>
          <w:p w:rsidR="00B676C4" w:rsidRPr="000626A7" w:rsidRDefault="00B676C4" w:rsidP="006016C5">
            <w:pPr>
              <w:pStyle w:val="a4"/>
              <w:jc w:val="both"/>
            </w:pPr>
            <w:r w:rsidRPr="000626A7">
              <w:t>Предлагаемая редакция</w:t>
            </w:r>
          </w:p>
        </w:tc>
      </w:tr>
      <w:tr w:rsidR="00B676C4" w:rsidRPr="000626A7" w:rsidTr="006016C5">
        <w:tc>
          <w:tcPr>
            <w:tcW w:w="425" w:type="dxa"/>
          </w:tcPr>
          <w:p w:rsidR="00B676C4" w:rsidRPr="000626A7" w:rsidRDefault="00B676C4" w:rsidP="006016C5">
            <w:pPr>
              <w:pStyle w:val="a4"/>
              <w:jc w:val="both"/>
            </w:pPr>
            <w:r w:rsidRPr="000626A7">
              <w:t>1.</w:t>
            </w:r>
          </w:p>
        </w:tc>
        <w:tc>
          <w:tcPr>
            <w:tcW w:w="5104" w:type="dxa"/>
          </w:tcPr>
          <w:p w:rsidR="00B676C4" w:rsidRPr="000626A7" w:rsidRDefault="00B676C4" w:rsidP="006016C5">
            <w:pPr>
              <w:pStyle w:val="a4"/>
              <w:jc w:val="both"/>
            </w:pPr>
            <w:r w:rsidRPr="000626A7">
              <w:t>Статья 128-1. Содержание и применение специальной таможенной процедуры</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2. Специальная таможенная процедура применяется в отношении:</w:t>
            </w:r>
          </w:p>
          <w:p w:rsidR="00B676C4" w:rsidRPr="000626A7" w:rsidRDefault="00B676C4" w:rsidP="006016C5">
            <w:pPr>
              <w:pStyle w:val="a4"/>
              <w:jc w:val="both"/>
            </w:pPr>
            <w:r w:rsidRPr="000626A7">
              <w:t>а) периодических печатных изданий и книжной продукции, связанной с образованием, наукой и культурой, перемещаемых редакциями средств массовой информации и издательствами;</w:t>
            </w:r>
          </w:p>
          <w:p w:rsidR="00B676C4" w:rsidRPr="000626A7" w:rsidRDefault="00B676C4" w:rsidP="006016C5">
            <w:pPr>
              <w:pStyle w:val="a4"/>
              <w:jc w:val="both"/>
            </w:pPr>
            <w:r w:rsidRPr="000626A7">
              <w:t>б) периодических печатных изданий, ввозимых государственными почтовыми организациями;</w:t>
            </w:r>
          </w:p>
          <w:p w:rsidR="00B676C4" w:rsidRPr="000626A7" w:rsidRDefault="00B676C4" w:rsidP="006016C5">
            <w:pPr>
              <w:pStyle w:val="a4"/>
              <w:jc w:val="both"/>
            </w:pPr>
            <w:r w:rsidRPr="000626A7">
              <w:t>в) товаров, ввозимых по государственному заказу;</w:t>
            </w:r>
          </w:p>
          <w:p w:rsidR="00B676C4" w:rsidRPr="000626A7" w:rsidRDefault="00B676C4" w:rsidP="006016C5">
            <w:pPr>
              <w:pStyle w:val="a4"/>
              <w:jc w:val="both"/>
            </w:pPr>
            <w:r w:rsidRPr="000626A7">
              <w:t>г) товаров, ввозимых для официального или личного пользования представителями иностранных государств;</w:t>
            </w:r>
          </w:p>
          <w:p w:rsidR="00B676C4" w:rsidRPr="000626A7" w:rsidRDefault="00B676C4" w:rsidP="006016C5">
            <w:pPr>
              <w:pStyle w:val="a4"/>
              <w:jc w:val="both"/>
            </w:pPr>
            <w:r w:rsidRPr="000626A7">
              <w:t>д) валюты Приднестровской Молдавской Республики, иностранной валюты (кроме используемой для нумизматических целей), а также в отношении ценных бумаг;</w:t>
            </w:r>
          </w:p>
          <w:p w:rsidR="00B676C4" w:rsidRPr="000626A7" w:rsidRDefault="00B676C4" w:rsidP="006016C5">
            <w:pPr>
              <w:pStyle w:val="a4"/>
              <w:jc w:val="both"/>
            </w:pPr>
            <w:r w:rsidRPr="000626A7">
              <w:t>е) учебных пособий для бесплатных учебных, дошкольных и лечебных учреждений;</w:t>
            </w:r>
          </w:p>
          <w:p w:rsidR="00B676C4" w:rsidRPr="000626A7" w:rsidRDefault="00B676C4" w:rsidP="006016C5">
            <w:pPr>
              <w:pStyle w:val="a4"/>
              <w:jc w:val="both"/>
            </w:pPr>
            <w:r w:rsidRPr="000626A7">
              <w:t>ж) товаров, ввозимых в качестве безвозмездной помощи, за исключением алкогольной продукции (кроме спирта этилового), пива, табачной продукции, драгоценных металлов и драгоценных камней, а также изделий из них, икры осетровых и ее заменителей, духов, туалетной воды, изделий из натурального меха;</w:t>
            </w:r>
          </w:p>
          <w:p w:rsidR="00B676C4" w:rsidRPr="000626A7" w:rsidRDefault="00B676C4" w:rsidP="006016C5">
            <w:pPr>
              <w:pStyle w:val="a4"/>
              <w:jc w:val="both"/>
            </w:pPr>
            <w:r w:rsidRPr="000626A7">
              <w:t>з) перемещаемых (перемещенных) через таможенную границу Приднестровской Молдавской Республики спортивного снаряжения и оборудования, иных товаров, предназначенных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w:t>
            </w:r>
          </w:p>
          <w:p w:rsidR="00B676C4" w:rsidRPr="000626A7" w:rsidRDefault="00B676C4" w:rsidP="006016C5">
            <w:pPr>
              <w:pStyle w:val="a4"/>
              <w:jc w:val="both"/>
            </w:pPr>
            <w:r w:rsidRPr="000626A7">
              <w:t xml:space="preserve">и) перемещаемых через таможенную границу Приднестровской Молдавской Республики товаров, предназначенных для организации и проведения официальных международных выставок, ярмарок, концертов, конкурсов, фестивалей и иных подобных мероприятий, а </w:t>
            </w:r>
            <w:r w:rsidRPr="000626A7">
              <w:lastRenderedPageBreak/>
              <w:t>также предназначенных для освещения в средствах массовой информации официальных мероприятий и иных мероприятий;</w:t>
            </w:r>
          </w:p>
          <w:p w:rsidR="00B676C4" w:rsidRPr="000626A7" w:rsidRDefault="00B676C4" w:rsidP="006016C5">
            <w:pPr>
              <w:pStyle w:val="a4"/>
              <w:jc w:val="both"/>
            </w:pPr>
            <w:r w:rsidRPr="000626A7">
              <w:t>к) товаров, предназначенных для религиозного почитания (паломничества), перемещаемых через таможенную границу Приднестровской Молдавской Республики религиозными организациями, а также товаров, вывозимых в адрес религиозных организаций;</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4. Правительство Приднестровской Молдавской Республики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tc>
        <w:tc>
          <w:tcPr>
            <w:tcW w:w="5103" w:type="dxa"/>
          </w:tcPr>
          <w:p w:rsidR="00B676C4" w:rsidRPr="000626A7" w:rsidRDefault="00B676C4" w:rsidP="006016C5">
            <w:pPr>
              <w:pStyle w:val="a4"/>
              <w:jc w:val="both"/>
            </w:pPr>
            <w:r w:rsidRPr="000626A7">
              <w:lastRenderedPageBreak/>
              <w:t>Статья 128-1. Содержание и применение специальной таможенной процедуры</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2. Специальная таможенная процедура применяется в отношении:</w:t>
            </w:r>
          </w:p>
          <w:p w:rsidR="00B676C4" w:rsidRPr="000626A7" w:rsidRDefault="00B676C4" w:rsidP="006016C5">
            <w:pPr>
              <w:pStyle w:val="a4"/>
              <w:jc w:val="both"/>
            </w:pPr>
            <w:r w:rsidRPr="000626A7">
              <w:t>а)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ab/>
            </w:r>
          </w:p>
          <w:p w:rsidR="00B676C4" w:rsidRPr="000626A7" w:rsidRDefault="00B676C4" w:rsidP="006016C5">
            <w:pPr>
              <w:pStyle w:val="a4"/>
              <w:jc w:val="both"/>
            </w:pPr>
          </w:p>
          <w:p w:rsidR="00B676C4" w:rsidRPr="000626A7" w:rsidRDefault="00B676C4" w:rsidP="006016C5">
            <w:pPr>
              <w:pStyle w:val="a4"/>
              <w:jc w:val="both"/>
            </w:pPr>
            <w:r w:rsidRPr="000626A7">
              <w:t>б)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в) исключен;</w:t>
            </w:r>
          </w:p>
          <w:p w:rsidR="00B676C4" w:rsidRPr="000626A7" w:rsidRDefault="00B676C4" w:rsidP="006016C5">
            <w:pPr>
              <w:pStyle w:val="a4"/>
              <w:jc w:val="both"/>
            </w:pPr>
          </w:p>
          <w:p w:rsidR="00B676C4" w:rsidRPr="000626A7" w:rsidRDefault="00B676C4" w:rsidP="006016C5">
            <w:pPr>
              <w:pStyle w:val="a4"/>
              <w:jc w:val="both"/>
            </w:pPr>
            <w:r w:rsidRPr="000626A7">
              <w:t>г) товаров, ввозимых для официального или личного пользования представителями иностранных государств;</w:t>
            </w:r>
          </w:p>
          <w:p w:rsidR="00B676C4" w:rsidRPr="000626A7" w:rsidRDefault="00B676C4" w:rsidP="006016C5">
            <w:pPr>
              <w:pStyle w:val="a4"/>
              <w:jc w:val="both"/>
            </w:pPr>
            <w:r w:rsidRPr="000626A7">
              <w:t>д)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е)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ж)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з)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lastRenderedPageBreak/>
              <w:t>и)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к) товаров, предназначенных для религиозного почитания (паломничества), перемещаемых через таможенную границу Приднестровской Молдавской Республики религиозными организациями, а также товаров, вывозимых в адрес религиозных организаций;</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4. Исключен.</w:t>
            </w:r>
          </w:p>
        </w:tc>
      </w:tr>
      <w:tr w:rsidR="00B676C4" w:rsidRPr="000626A7" w:rsidTr="006016C5">
        <w:tc>
          <w:tcPr>
            <w:tcW w:w="425" w:type="dxa"/>
          </w:tcPr>
          <w:p w:rsidR="00B676C4" w:rsidRPr="000626A7" w:rsidRDefault="00B676C4" w:rsidP="006016C5">
            <w:pPr>
              <w:pStyle w:val="a4"/>
              <w:jc w:val="both"/>
            </w:pPr>
          </w:p>
        </w:tc>
        <w:tc>
          <w:tcPr>
            <w:tcW w:w="5104" w:type="dxa"/>
          </w:tcPr>
          <w:p w:rsidR="00B676C4" w:rsidRPr="000626A7" w:rsidRDefault="00B676C4" w:rsidP="006016C5">
            <w:pPr>
              <w:pStyle w:val="a4"/>
              <w:jc w:val="both"/>
            </w:pPr>
            <w:r w:rsidRPr="000626A7">
              <w:t>Статья 135. Таможенные сборы</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9. Освобождаются от уплаты таможенных сборов за таможенные операции и таможенных сборов за хранение следующие категории товаров:</w:t>
            </w:r>
          </w:p>
          <w:p w:rsidR="00B676C4" w:rsidRPr="000626A7" w:rsidRDefault="00B676C4" w:rsidP="006016C5">
            <w:pPr>
              <w:pStyle w:val="a4"/>
              <w:jc w:val="both"/>
            </w:pPr>
            <w:r w:rsidRPr="000626A7">
              <w:t>а) товары, помещаемые под таможенную процедуру отказа в пользу государства;</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м) товары и транспортные средства в иных случаях, определенных нормативным правовым актом Правительства Приднестровской Молдавской Республики.</w:t>
            </w:r>
          </w:p>
          <w:p w:rsidR="00B676C4" w:rsidRPr="000626A7" w:rsidRDefault="00B676C4" w:rsidP="006016C5">
            <w:pPr>
              <w:pStyle w:val="a4"/>
              <w:jc w:val="both"/>
            </w:pPr>
          </w:p>
          <w:p w:rsidR="00B676C4" w:rsidRPr="000626A7" w:rsidRDefault="00B676C4" w:rsidP="006016C5">
            <w:pPr>
              <w:pStyle w:val="a4"/>
              <w:jc w:val="both"/>
            </w:pPr>
            <w:r w:rsidRPr="000626A7">
              <w:t>н)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о) отсутствует;</w:t>
            </w:r>
          </w:p>
          <w:p w:rsidR="00B676C4" w:rsidRPr="000626A7" w:rsidRDefault="00B676C4" w:rsidP="006016C5">
            <w:pPr>
              <w:pStyle w:val="a4"/>
              <w:jc w:val="both"/>
            </w:pPr>
          </w:p>
          <w:p w:rsidR="00B676C4" w:rsidRPr="000626A7" w:rsidRDefault="00B676C4" w:rsidP="006016C5">
            <w:pPr>
              <w:pStyle w:val="a4"/>
              <w:jc w:val="both"/>
            </w:pPr>
            <w:r w:rsidRPr="000626A7">
              <w:t>п)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р)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с)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т)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у)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ab/>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ф)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х)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lastRenderedPageBreak/>
              <w:t>ц)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 xml:space="preserve">ч) отсутствует. </w:t>
            </w:r>
          </w:p>
        </w:tc>
        <w:tc>
          <w:tcPr>
            <w:tcW w:w="5103" w:type="dxa"/>
          </w:tcPr>
          <w:p w:rsidR="00B676C4" w:rsidRPr="000626A7" w:rsidRDefault="00B676C4" w:rsidP="006016C5">
            <w:pPr>
              <w:pStyle w:val="a4"/>
              <w:jc w:val="both"/>
            </w:pPr>
            <w:r w:rsidRPr="000626A7">
              <w:lastRenderedPageBreak/>
              <w:t>Статья 135. Таможенные сборы</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9. Освобождаются от уплаты таможенных сборов за таможенные операции и таможенных сборов за хранение следующие категории товаров:</w:t>
            </w:r>
          </w:p>
          <w:p w:rsidR="00B676C4" w:rsidRPr="000626A7" w:rsidRDefault="00B676C4" w:rsidP="006016C5">
            <w:pPr>
              <w:pStyle w:val="a4"/>
              <w:jc w:val="both"/>
            </w:pPr>
            <w:r w:rsidRPr="000626A7">
              <w:t>а) товары, помещаемые под таможенную процедуру отказа в пользу государства;</w:t>
            </w:r>
          </w:p>
          <w:p w:rsidR="00B676C4" w:rsidRPr="000626A7" w:rsidRDefault="00B676C4" w:rsidP="006016C5">
            <w:pPr>
              <w:pStyle w:val="a4"/>
              <w:jc w:val="both"/>
            </w:pPr>
            <w:r w:rsidRPr="000626A7">
              <w:t>…</w:t>
            </w:r>
          </w:p>
          <w:p w:rsidR="00B676C4" w:rsidRPr="000626A7" w:rsidRDefault="00B676C4" w:rsidP="006016C5">
            <w:pPr>
              <w:pStyle w:val="a4"/>
              <w:jc w:val="both"/>
            </w:pPr>
            <w:r w:rsidRPr="000626A7">
              <w:t>м) периодические печатные издания и книжная продукция, связанная с образованием, наукой и культурой, перемещаемые редакциями средств массовой информации и издательствами;</w:t>
            </w:r>
          </w:p>
          <w:p w:rsidR="00B676C4" w:rsidRPr="000626A7" w:rsidRDefault="00B676C4" w:rsidP="006016C5">
            <w:pPr>
              <w:pStyle w:val="a4"/>
              <w:jc w:val="both"/>
            </w:pPr>
            <w:r w:rsidRPr="000626A7">
              <w:t>н) периодические печатные издания, ввозимые государственными почтовыми организациями;</w:t>
            </w:r>
          </w:p>
          <w:p w:rsidR="00B676C4" w:rsidRPr="000626A7" w:rsidRDefault="00B676C4" w:rsidP="006016C5">
            <w:pPr>
              <w:pStyle w:val="a4"/>
              <w:jc w:val="both"/>
            </w:pPr>
            <w:r w:rsidRPr="000626A7">
              <w:t>о) товары, ввозимые по государственному заказу;</w:t>
            </w:r>
          </w:p>
          <w:p w:rsidR="00B676C4" w:rsidRPr="000626A7" w:rsidRDefault="00B676C4" w:rsidP="006016C5">
            <w:pPr>
              <w:pStyle w:val="a4"/>
              <w:jc w:val="both"/>
            </w:pPr>
            <w:r w:rsidRPr="000626A7">
              <w:t>п) учебные пособия для бесплатных учебных, дошкольных и лечебных учреждений;</w:t>
            </w:r>
          </w:p>
          <w:p w:rsidR="00B676C4" w:rsidRPr="000626A7" w:rsidRDefault="00B676C4" w:rsidP="006016C5">
            <w:pPr>
              <w:pStyle w:val="a4"/>
              <w:jc w:val="both"/>
            </w:pPr>
            <w:r w:rsidRPr="000626A7">
              <w:t>р) товары, ввозимые в качестве безвозмездной помощи, за исключением алкогольной продукции (кроме спирта этилового), пива, табачной продукции, драгоценных металлов и драгоценных камней, а также изделий из них, икры осетровых и ее заменителей, духов, туалетной воды, изделий из натурального меха;</w:t>
            </w:r>
          </w:p>
          <w:p w:rsidR="00B676C4" w:rsidRPr="000626A7" w:rsidRDefault="00B676C4" w:rsidP="006016C5">
            <w:pPr>
              <w:pStyle w:val="a4"/>
              <w:jc w:val="both"/>
            </w:pPr>
            <w:r w:rsidRPr="000626A7">
              <w:t xml:space="preserve">с) перемещаемые через таможенную границу Приднестровской Молдавской Республики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w:t>
            </w:r>
          </w:p>
          <w:p w:rsidR="00B676C4" w:rsidRPr="000626A7" w:rsidRDefault="00B676C4" w:rsidP="006016C5">
            <w:pPr>
              <w:pStyle w:val="a4"/>
              <w:jc w:val="both"/>
            </w:pPr>
            <w:r w:rsidRPr="000626A7">
              <w:lastRenderedPageBreak/>
              <w:t>т) перемещаемые через таможенную границу Приднестровской Молдавской Республики товары, предназначенные для организации и проведения официальных международных выставок, ярмарок, концертов, конкурсов, фестивалей и иных подобных мероприятий, а также предназначенные для освещения в средствах массовой информации официальных мероприятий и иных мероприятий;</w:t>
            </w:r>
          </w:p>
          <w:p w:rsidR="00B676C4" w:rsidRPr="000626A7" w:rsidRDefault="00B676C4" w:rsidP="006016C5">
            <w:pPr>
              <w:pStyle w:val="a4"/>
              <w:jc w:val="both"/>
            </w:pPr>
            <w:r w:rsidRPr="000626A7">
              <w:t xml:space="preserve">у) ввозимое на таможенную территорию Приднестровской Молдавской Республики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вспомогательные аппараты и принадлежности), а также запасные части, предназначенные для ремонта профессионального оборудования и инструментов; </w:t>
            </w:r>
          </w:p>
          <w:p w:rsidR="00B676C4" w:rsidRPr="000626A7" w:rsidRDefault="00B676C4" w:rsidP="006016C5">
            <w:pPr>
              <w:pStyle w:val="a4"/>
              <w:jc w:val="both"/>
            </w:pPr>
            <w:r w:rsidRPr="000626A7">
              <w:t>ф) транспортные средства, осуществляющие международные перевозки грузов, багажа и пассажиров, а также предметы материально-технического снабжения, топлива, продовольствия и другого имущества, необходимого для их нормальной эксплуатации на время следования в пути, в пунктах промежуточной остановки или приобретенного за границей в связи с ликвидацией аварии (поломки) данных транспортных средств;</w:t>
            </w:r>
          </w:p>
          <w:p w:rsidR="00B676C4" w:rsidRPr="000626A7" w:rsidRDefault="00B676C4" w:rsidP="006016C5">
            <w:pPr>
              <w:pStyle w:val="a4"/>
              <w:jc w:val="both"/>
            </w:pPr>
            <w:r w:rsidRPr="000626A7">
              <w:t xml:space="preserve">х) временно ввозимые на таможенную территорию Приднестровской Молдавской Республики физическими лицами для целей отдыха или спорта яхты и прочие плавучие средства, планеры, дельтапланы, воздушные шары, </w:t>
            </w:r>
            <w:proofErr w:type="spellStart"/>
            <w:r w:rsidRPr="000626A7">
              <w:t>квадроциклы</w:t>
            </w:r>
            <w:proofErr w:type="spellEnd"/>
            <w:r w:rsidRPr="000626A7">
              <w:t xml:space="preserve"> и прочие спортивные транспортные средства;</w:t>
            </w:r>
          </w:p>
          <w:p w:rsidR="00B676C4" w:rsidRPr="000626A7" w:rsidRDefault="00B676C4" w:rsidP="006016C5">
            <w:pPr>
              <w:pStyle w:val="a4"/>
              <w:jc w:val="both"/>
            </w:pPr>
            <w:r w:rsidRPr="000626A7">
              <w:t xml:space="preserve">ц) </w:t>
            </w:r>
            <w:bookmarkStart w:id="1" w:name="_Hlk175124690"/>
            <w:r w:rsidRPr="000626A7">
              <w:t>валюта Приднестровской Молдавской Республики, иностранная валюта (кроме используемой для нумизматических целей), а также ценные бумаги</w:t>
            </w:r>
            <w:bookmarkEnd w:id="1"/>
            <w:r w:rsidRPr="000626A7">
              <w:t>;</w:t>
            </w:r>
          </w:p>
          <w:p w:rsidR="00B676C4" w:rsidRPr="000626A7" w:rsidRDefault="00B676C4" w:rsidP="006016C5">
            <w:pPr>
              <w:pStyle w:val="a4"/>
              <w:jc w:val="both"/>
            </w:pPr>
            <w:r w:rsidRPr="000626A7">
              <w:t>ч) товары и транспортные средства в иных случаях, определенных нормативным правовым актом Правительства Приднестровской Молдавской Республики.</w:t>
            </w:r>
          </w:p>
          <w:p w:rsidR="00B676C4" w:rsidRPr="000626A7" w:rsidRDefault="00B676C4" w:rsidP="006016C5">
            <w:pPr>
              <w:pStyle w:val="a4"/>
              <w:jc w:val="both"/>
            </w:pPr>
          </w:p>
        </w:tc>
      </w:tr>
      <w:tr w:rsidR="00B676C4" w:rsidRPr="000626A7" w:rsidTr="006016C5">
        <w:tc>
          <w:tcPr>
            <w:tcW w:w="425" w:type="dxa"/>
          </w:tcPr>
          <w:p w:rsidR="00B676C4" w:rsidRPr="000626A7" w:rsidRDefault="00B676C4" w:rsidP="006016C5">
            <w:pPr>
              <w:pStyle w:val="a4"/>
              <w:jc w:val="both"/>
            </w:pPr>
          </w:p>
        </w:tc>
        <w:tc>
          <w:tcPr>
            <w:tcW w:w="5104" w:type="dxa"/>
          </w:tcPr>
          <w:p w:rsidR="00B676C4" w:rsidRPr="000626A7" w:rsidRDefault="00B676C4" w:rsidP="006016C5">
            <w:pPr>
              <w:pStyle w:val="a4"/>
              <w:jc w:val="both"/>
            </w:pPr>
            <w:r w:rsidRPr="000626A7">
              <w:t>Статья 227. Неполное таможенное декларирование</w:t>
            </w:r>
          </w:p>
          <w:p w:rsidR="00B676C4" w:rsidRPr="000626A7" w:rsidRDefault="00B676C4" w:rsidP="006016C5">
            <w:pPr>
              <w:pStyle w:val="a4"/>
              <w:jc w:val="both"/>
            </w:pPr>
          </w:p>
          <w:p w:rsidR="00B676C4" w:rsidRPr="000626A7" w:rsidRDefault="00B676C4" w:rsidP="006016C5">
            <w:pPr>
              <w:pStyle w:val="a4"/>
              <w:jc w:val="both"/>
            </w:pPr>
            <w:r w:rsidRPr="000626A7">
              <w:t>…</w:t>
            </w:r>
          </w:p>
          <w:p w:rsidR="00B676C4" w:rsidRPr="000626A7" w:rsidRDefault="00B676C4" w:rsidP="006016C5">
            <w:pPr>
              <w:pStyle w:val="a4"/>
              <w:jc w:val="both"/>
            </w:pPr>
            <w:r w:rsidRPr="000626A7">
              <w:t>2. Декларированию с применением неполной таможенной декларации подлежат:</w:t>
            </w:r>
          </w:p>
          <w:p w:rsidR="00B676C4" w:rsidRPr="000626A7" w:rsidRDefault="00B676C4" w:rsidP="006016C5">
            <w:pPr>
              <w:pStyle w:val="a4"/>
              <w:jc w:val="both"/>
            </w:pPr>
            <w:r w:rsidRPr="000626A7">
              <w:t>а) товары, указанные в подпунктах в), г), е), з), и), к), л), н), р) пункта 2 статьи 128-1 настоящего Кодекса;</w:t>
            </w:r>
          </w:p>
          <w:p w:rsidR="00B676C4" w:rsidRPr="000626A7" w:rsidRDefault="00B676C4" w:rsidP="006016C5">
            <w:pPr>
              <w:pStyle w:val="a4"/>
              <w:jc w:val="both"/>
            </w:pPr>
            <w:r w:rsidRPr="000626A7">
              <w:t>б) товары, ввозимые в адрес высших органов законодательной, исполнительной и судебной власти Приднестровской Молдавской Республики;</w:t>
            </w:r>
          </w:p>
          <w:p w:rsidR="00B676C4" w:rsidRPr="000626A7" w:rsidRDefault="00B676C4" w:rsidP="006016C5">
            <w:pPr>
              <w:pStyle w:val="a4"/>
              <w:jc w:val="both"/>
            </w:pPr>
            <w:r w:rsidRPr="000626A7">
              <w:t>в) образцы товаров, временно вывозимые с таможенной территории Приднестровской Молдавской Республики, а также вывозимые с таможенной территории Приднестровской Молдавской Республики и не облагаемые таможенными пошлинами, налогами;</w:t>
            </w:r>
          </w:p>
          <w:p w:rsidR="00B676C4" w:rsidRPr="000626A7" w:rsidRDefault="00B676C4" w:rsidP="006016C5">
            <w:pPr>
              <w:pStyle w:val="a4"/>
              <w:jc w:val="both"/>
            </w:pPr>
            <w:r w:rsidRPr="000626A7">
              <w:t>г) многооборотная (возвратная) тара (упаковка), временно ввозимая на таможенную территорию (временно вывозимая с таможенной территории) Приднестровской Молдавской Республики для завершения и (или) начала международной перевозки товаров и подлежащая обратному вывозу (ввозу);</w:t>
            </w:r>
          </w:p>
          <w:p w:rsidR="00B676C4" w:rsidRPr="000626A7" w:rsidRDefault="00B676C4" w:rsidP="006016C5">
            <w:pPr>
              <w:pStyle w:val="a4"/>
              <w:jc w:val="both"/>
            </w:pPr>
            <w:r w:rsidRPr="000626A7">
              <w:t>д) транспортные средства, осуществляющие международные перевозки грузов, багажа и пассажиров, а также предметы материально-технического снабжения,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w:t>
            </w:r>
          </w:p>
          <w:p w:rsidR="00B676C4" w:rsidRPr="000626A7" w:rsidRDefault="00B676C4" w:rsidP="006016C5">
            <w:pPr>
              <w:pStyle w:val="a4"/>
              <w:jc w:val="both"/>
            </w:pPr>
            <w:r w:rsidRPr="000626A7">
              <w:t xml:space="preserve">е) временно ввозимые на территорию Приднестровской Молдавской Республики для целей выполнения ремонтных работ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w:t>
            </w:r>
            <w:r w:rsidRPr="000626A7">
              <w:lastRenderedPageBreak/>
              <w:t>вспомогательные аппараты и принадлежности), а также запасные части, предназначенные для ремонта профессионального оборудования и инструментов;</w:t>
            </w:r>
          </w:p>
          <w:p w:rsidR="00B676C4" w:rsidRPr="000626A7" w:rsidRDefault="00B676C4" w:rsidP="006016C5">
            <w:pPr>
              <w:pStyle w:val="a4"/>
              <w:jc w:val="both"/>
            </w:pPr>
            <w:r w:rsidRPr="000626A7">
              <w:t xml:space="preserve">ж) временно ввозимые на таможенную территорию Приднестровской Молдавской Республики физическими лицами для целей отдыха или спорта яхты и прочие плавучие средства; планеры, дельтапланы, воздушные шары, </w:t>
            </w:r>
            <w:proofErr w:type="spellStart"/>
            <w:r w:rsidRPr="000626A7">
              <w:t>квадроциклы</w:t>
            </w:r>
            <w:proofErr w:type="spellEnd"/>
            <w:r w:rsidRPr="000626A7">
              <w:t xml:space="preserve"> и прочие спортивные транспортные средства;</w:t>
            </w:r>
          </w:p>
          <w:p w:rsidR="00B676C4" w:rsidRPr="000626A7" w:rsidRDefault="00B676C4" w:rsidP="006016C5">
            <w:pPr>
              <w:pStyle w:val="a4"/>
              <w:jc w:val="both"/>
            </w:pPr>
            <w:r w:rsidRPr="000626A7">
              <w:t>з)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и) отсутствует;</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к) отсутствует.</w:t>
            </w:r>
          </w:p>
          <w:p w:rsidR="00B676C4" w:rsidRPr="000626A7" w:rsidRDefault="00B676C4" w:rsidP="006016C5">
            <w:pPr>
              <w:pStyle w:val="a4"/>
              <w:jc w:val="both"/>
            </w:pPr>
          </w:p>
        </w:tc>
        <w:tc>
          <w:tcPr>
            <w:tcW w:w="5103" w:type="dxa"/>
          </w:tcPr>
          <w:p w:rsidR="00B676C4" w:rsidRPr="000626A7" w:rsidRDefault="00B676C4" w:rsidP="006016C5">
            <w:pPr>
              <w:pStyle w:val="a4"/>
              <w:jc w:val="both"/>
            </w:pPr>
            <w:r w:rsidRPr="000626A7">
              <w:lastRenderedPageBreak/>
              <w:t>Статья 227. Неполное таможенное декларирование</w:t>
            </w:r>
          </w:p>
          <w:p w:rsidR="00B676C4" w:rsidRPr="000626A7" w:rsidRDefault="00B676C4" w:rsidP="006016C5">
            <w:pPr>
              <w:pStyle w:val="a4"/>
              <w:jc w:val="both"/>
            </w:pPr>
          </w:p>
          <w:p w:rsidR="00B676C4" w:rsidRPr="000626A7" w:rsidRDefault="00B676C4" w:rsidP="006016C5">
            <w:pPr>
              <w:pStyle w:val="a4"/>
              <w:jc w:val="both"/>
            </w:pPr>
            <w:r w:rsidRPr="000626A7">
              <w:t>…</w:t>
            </w:r>
          </w:p>
          <w:p w:rsidR="00B676C4" w:rsidRPr="000626A7" w:rsidRDefault="00B676C4" w:rsidP="006016C5">
            <w:pPr>
              <w:pStyle w:val="a4"/>
              <w:jc w:val="both"/>
            </w:pPr>
            <w:r w:rsidRPr="000626A7">
              <w:t>2. Декларированию с применением неполной таможенной декларации подлежат:</w:t>
            </w:r>
          </w:p>
          <w:p w:rsidR="00B676C4" w:rsidRPr="000626A7" w:rsidRDefault="00B676C4" w:rsidP="006016C5">
            <w:pPr>
              <w:pStyle w:val="a4"/>
              <w:jc w:val="both"/>
            </w:pPr>
            <w:r w:rsidRPr="000626A7">
              <w:t>а) товары, указанные в подпунктах г</w:t>
            </w:r>
            <w:proofErr w:type="gramStart"/>
            <w:r w:rsidRPr="000626A7">
              <w:t>),  к</w:t>
            </w:r>
            <w:proofErr w:type="gramEnd"/>
            <w:r w:rsidRPr="000626A7">
              <w:t>), л), н), р) пункта 2 статьи 128-1 настоящего Кодекса;</w:t>
            </w:r>
          </w:p>
          <w:p w:rsidR="00B676C4" w:rsidRPr="000626A7" w:rsidRDefault="00B676C4" w:rsidP="006016C5">
            <w:pPr>
              <w:pStyle w:val="a4"/>
              <w:jc w:val="both"/>
            </w:pPr>
            <w:r w:rsidRPr="000626A7">
              <w:t>б) товары, ввозимые в адрес высших органов законодательной, исполнительной и судебной власти Приднестровской Молдавской Республики;</w:t>
            </w:r>
          </w:p>
          <w:p w:rsidR="00B676C4" w:rsidRPr="000626A7" w:rsidRDefault="00B676C4" w:rsidP="006016C5">
            <w:pPr>
              <w:pStyle w:val="a4"/>
              <w:jc w:val="both"/>
            </w:pPr>
            <w:r w:rsidRPr="000626A7">
              <w:t>в) образцы товаров, временно вывозимые с таможенной территории Приднестровской Молдавской Республики, а также вывозимые с таможенной территории Приднестровской Молдавской Республики и не облагаемые таможенными пошлинами, налогами;</w:t>
            </w:r>
          </w:p>
          <w:p w:rsidR="00B676C4" w:rsidRPr="000626A7" w:rsidRDefault="00B676C4" w:rsidP="006016C5">
            <w:pPr>
              <w:pStyle w:val="a4"/>
              <w:jc w:val="both"/>
            </w:pPr>
            <w:r w:rsidRPr="000626A7">
              <w:t>г) многооборотная (возвратная) тара (упаковка), временно ввозимая на таможенную территорию (временно вывозимая с таможенной территории) Приднестровской Молдавской Республики для завершения и (или) начала международной перевозки товаров и подлежащая обратному вывозу (ввозу);</w:t>
            </w:r>
          </w:p>
          <w:p w:rsidR="00B676C4" w:rsidRPr="000626A7" w:rsidRDefault="00B676C4" w:rsidP="006016C5">
            <w:pPr>
              <w:pStyle w:val="a4"/>
              <w:jc w:val="both"/>
            </w:pPr>
            <w:r w:rsidRPr="000626A7">
              <w:t>д) транспортные средства, осуществляющие международные перевозки грузов, багажа и пассажиров, а также предметы материально-технического снабжения,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w:t>
            </w:r>
          </w:p>
          <w:p w:rsidR="00B676C4" w:rsidRPr="000626A7" w:rsidRDefault="00B676C4" w:rsidP="006016C5">
            <w:pPr>
              <w:pStyle w:val="a4"/>
              <w:jc w:val="both"/>
            </w:pPr>
            <w:r w:rsidRPr="000626A7">
              <w:t xml:space="preserve">е) временно ввозимые на территорию Приднестровской Молдавской Республики для целей выполнения ремонтных работ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вспомогательные аппараты и принадлежности), </w:t>
            </w:r>
            <w:r w:rsidRPr="000626A7">
              <w:lastRenderedPageBreak/>
              <w:t>а также запасные части, предназначенные для ремонта профессионального оборудования и инструментов;</w:t>
            </w:r>
          </w:p>
          <w:p w:rsidR="00B676C4" w:rsidRPr="000626A7" w:rsidRDefault="00B676C4" w:rsidP="006016C5">
            <w:pPr>
              <w:pStyle w:val="a4"/>
              <w:jc w:val="both"/>
            </w:pPr>
            <w:r w:rsidRPr="000626A7">
              <w:t>ж) исключен;</w:t>
            </w: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p>
          <w:p w:rsidR="00B676C4" w:rsidRPr="000626A7" w:rsidRDefault="00B676C4" w:rsidP="006016C5">
            <w:pPr>
              <w:pStyle w:val="a4"/>
              <w:jc w:val="both"/>
            </w:pPr>
            <w:r w:rsidRPr="000626A7">
              <w:t xml:space="preserve">з) временно ввозимое на таможенную территорию Приднестровской Молдавской Республики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w:t>
            </w:r>
          </w:p>
          <w:p w:rsidR="00B676C4" w:rsidRPr="000626A7" w:rsidRDefault="00B676C4" w:rsidP="006016C5">
            <w:pPr>
              <w:pStyle w:val="a4"/>
              <w:jc w:val="both"/>
            </w:pPr>
            <w:r w:rsidRPr="000626A7">
              <w:t>и) временно ввозимые на таможенную территорию Приднестровской Молдавской Республики товары, предназначенные для организации и проведения официальных международных выставок, ярмарок, концертов, конкурсов, фестивалей и иных подобных мероприятий, а также предназначенных для освещения в средствах массовой информации официальных мероприятий и иных мероприятий;</w:t>
            </w:r>
          </w:p>
          <w:p w:rsidR="00B676C4" w:rsidRPr="000626A7" w:rsidRDefault="00B676C4" w:rsidP="006016C5">
            <w:pPr>
              <w:pStyle w:val="a4"/>
              <w:jc w:val="both"/>
            </w:pPr>
            <w:r w:rsidRPr="000626A7">
              <w:t>к) товары, определенные нормативным правовым актом Правительства Приднестровской Молдавской Республики.</w:t>
            </w:r>
          </w:p>
        </w:tc>
      </w:tr>
      <w:bookmarkEnd w:id="0"/>
    </w:tbl>
    <w:p w:rsidR="00B676C4" w:rsidRPr="000626A7" w:rsidRDefault="00B676C4" w:rsidP="00B676C4">
      <w:pPr>
        <w:pStyle w:val="a4"/>
        <w:jc w:val="both"/>
      </w:pPr>
    </w:p>
    <w:p w:rsidR="004325B2" w:rsidRDefault="004325B2">
      <w:bookmarkStart w:id="2" w:name="_GoBack"/>
      <w:bookmarkEnd w:id="2"/>
    </w:p>
    <w:sectPr w:rsidR="004325B2" w:rsidSect="000626A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7D"/>
    <w:rsid w:val="0007477D"/>
    <w:rsid w:val="004325B2"/>
    <w:rsid w:val="00B67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6ACD9-23A4-411D-8B5A-66321602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6C4"/>
    <w:pPr>
      <w:spacing w:line="254"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676C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9823</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2025-03-20T09:19:00Z</dcterms:created>
  <dcterms:modified xsi:type="dcterms:W3CDTF">2025-03-20T09:20:00Z</dcterms:modified>
</cp:coreProperties>
</file>