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191" w:rsidRPr="006C4C2F" w:rsidRDefault="00FB5191" w:rsidP="00FB5191">
      <w:pPr>
        <w:pStyle w:val="a5"/>
        <w:spacing w:line="240" w:lineRule="auto"/>
        <w:rPr>
          <w:sz w:val="26"/>
          <w:szCs w:val="26"/>
        </w:rPr>
      </w:pPr>
      <w:r w:rsidRPr="006C4C2F">
        <w:rPr>
          <w:sz w:val="26"/>
          <w:szCs w:val="26"/>
        </w:rPr>
        <w:t>СРАВНИТЕЛЬНАЯ ТАБЛИЦА</w:t>
      </w:r>
    </w:p>
    <w:p w:rsidR="00FB5191" w:rsidRPr="006C4C2F" w:rsidRDefault="00FB5191" w:rsidP="00FB5191">
      <w:pPr>
        <w:jc w:val="center"/>
        <w:rPr>
          <w:bCs/>
          <w:sz w:val="26"/>
          <w:szCs w:val="26"/>
        </w:rPr>
      </w:pPr>
      <w:r w:rsidRPr="006C4C2F">
        <w:rPr>
          <w:bCs/>
          <w:sz w:val="26"/>
          <w:szCs w:val="26"/>
        </w:rPr>
        <w:t xml:space="preserve">к проекту закона Приднестровской Молдавской Республики </w:t>
      </w:r>
    </w:p>
    <w:p w:rsidR="006C4C2F" w:rsidRPr="006C4C2F" w:rsidRDefault="00FB5191" w:rsidP="00FB5191">
      <w:pPr>
        <w:jc w:val="center"/>
        <w:rPr>
          <w:sz w:val="26"/>
          <w:szCs w:val="26"/>
        </w:rPr>
      </w:pPr>
      <w:r w:rsidRPr="006C4C2F">
        <w:rPr>
          <w:sz w:val="26"/>
          <w:szCs w:val="26"/>
        </w:rPr>
        <w:t xml:space="preserve">«О внесении </w:t>
      </w:r>
      <w:r w:rsidR="000B2F9B" w:rsidRPr="006C4C2F">
        <w:rPr>
          <w:sz w:val="26"/>
          <w:szCs w:val="26"/>
        </w:rPr>
        <w:t>дополнени</w:t>
      </w:r>
      <w:r w:rsidR="006C4C2F" w:rsidRPr="006C4C2F">
        <w:rPr>
          <w:sz w:val="26"/>
          <w:szCs w:val="26"/>
        </w:rPr>
        <w:t>я</w:t>
      </w:r>
      <w:r w:rsidRPr="006C4C2F">
        <w:rPr>
          <w:sz w:val="26"/>
          <w:szCs w:val="26"/>
        </w:rPr>
        <w:t xml:space="preserve"> в </w:t>
      </w:r>
      <w:r w:rsidR="006C4C2F" w:rsidRPr="006C4C2F">
        <w:rPr>
          <w:sz w:val="26"/>
          <w:szCs w:val="26"/>
        </w:rPr>
        <w:t>Закон</w:t>
      </w:r>
      <w:r w:rsidRPr="006C4C2F">
        <w:rPr>
          <w:sz w:val="26"/>
          <w:szCs w:val="26"/>
        </w:rPr>
        <w:t xml:space="preserve"> Приднестровской Молдавской Республики</w:t>
      </w:r>
      <w:r w:rsidR="006C4C2F" w:rsidRPr="006C4C2F">
        <w:rPr>
          <w:sz w:val="26"/>
          <w:szCs w:val="26"/>
        </w:rPr>
        <w:t xml:space="preserve"> </w:t>
      </w:r>
    </w:p>
    <w:p w:rsidR="00997AAB" w:rsidRPr="00997AAB" w:rsidRDefault="00997AAB" w:rsidP="00997AAB">
      <w:pPr>
        <w:pStyle w:val="ac"/>
        <w:spacing w:before="0" w:after="0" w:line="240" w:lineRule="auto"/>
        <w:ind w:left="0"/>
        <w:jc w:val="center"/>
        <w:rPr>
          <w:caps/>
          <w:sz w:val="28"/>
          <w:szCs w:val="28"/>
        </w:rPr>
      </w:pPr>
      <w:r w:rsidRPr="00997AAB">
        <w:rPr>
          <w:sz w:val="28"/>
          <w:szCs w:val="28"/>
        </w:rPr>
        <w:t>«</w:t>
      </w:r>
      <w:r>
        <w:rPr>
          <w:sz w:val="28"/>
          <w:szCs w:val="28"/>
        </w:rPr>
        <w:t>О</w:t>
      </w:r>
      <w:r w:rsidRPr="00997AAB">
        <w:rPr>
          <w:sz w:val="28"/>
          <w:szCs w:val="28"/>
        </w:rPr>
        <w:t>б информации, информационных технологиях и о защите информации»</w:t>
      </w:r>
    </w:p>
    <w:tbl>
      <w:tblPr>
        <w:tblpPr w:leftFromText="180" w:rightFromText="180" w:vertAnchor="text" w:horzAnchor="margin" w:tblpXSpec="center" w:tblpY="32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6"/>
        <w:gridCol w:w="5129"/>
      </w:tblGrid>
      <w:tr w:rsidR="00FB5191" w:rsidRPr="0096117D" w:rsidTr="00994FE4">
        <w:trPr>
          <w:trHeight w:val="560"/>
        </w:trPr>
        <w:tc>
          <w:tcPr>
            <w:tcW w:w="5356" w:type="dxa"/>
          </w:tcPr>
          <w:p w:rsidR="00FB5191" w:rsidRPr="000411D4" w:rsidRDefault="00FB5191" w:rsidP="00BB3FF1">
            <w:pPr>
              <w:jc w:val="center"/>
              <w:rPr>
                <w:b/>
                <w:sz w:val="26"/>
                <w:szCs w:val="26"/>
              </w:rPr>
            </w:pPr>
            <w:r w:rsidRPr="000411D4">
              <w:rPr>
                <w:b/>
                <w:sz w:val="26"/>
                <w:szCs w:val="26"/>
              </w:rPr>
              <w:t xml:space="preserve">Действующая редакция </w:t>
            </w:r>
          </w:p>
        </w:tc>
        <w:tc>
          <w:tcPr>
            <w:tcW w:w="5129" w:type="dxa"/>
          </w:tcPr>
          <w:p w:rsidR="00FB5191" w:rsidRPr="000411D4" w:rsidRDefault="00FB5191" w:rsidP="00BB3FF1">
            <w:pPr>
              <w:jc w:val="center"/>
              <w:rPr>
                <w:b/>
                <w:sz w:val="26"/>
                <w:szCs w:val="26"/>
              </w:rPr>
            </w:pPr>
            <w:r w:rsidRPr="000411D4">
              <w:rPr>
                <w:b/>
                <w:sz w:val="26"/>
                <w:szCs w:val="26"/>
              </w:rPr>
              <w:t xml:space="preserve">Предлагаемая редакция </w:t>
            </w:r>
          </w:p>
        </w:tc>
      </w:tr>
      <w:tr w:rsidR="005D205F" w:rsidRPr="0096117D" w:rsidTr="00994FE4">
        <w:trPr>
          <w:trHeight w:val="560"/>
        </w:trPr>
        <w:tc>
          <w:tcPr>
            <w:tcW w:w="5356" w:type="dxa"/>
          </w:tcPr>
          <w:p w:rsidR="00994FE4" w:rsidRPr="00994FE4" w:rsidRDefault="00994FE4" w:rsidP="00994FE4">
            <w:pPr>
              <w:ind w:firstLine="720"/>
              <w:jc w:val="both"/>
              <w:rPr>
                <w:rFonts w:eastAsia="Calibri"/>
                <w:b/>
                <w:sz w:val="28"/>
                <w:szCs w:val="28"/>
                <w:u w:val="single"/>
                <w:lang w:eastAsia="en-US"/>
              </w:rPr>
            </w:pPr>
            <w:r w:rsidRPr="00994FE4">
              <w:rPr>
                <w:rFonts w:eastAsia="Calibri"/>
                <w:b/>
                <w:sz w:val="28"/>
                <w:szCs w:val="28"/>
                <w:u w:val="single"/>
                <w:lang w:eastAsia="en-US"/>
              </w:rPr>
              <w:t>Пункт 1 статьи 14-2</w:t>
            </w:r>
          </w:p>
          <w:p w:rsidR="00994FE4" w:rsidRDefault="00994FE4" w:rsidP="00994FE4">
            <w:pPr>
              <w:ind w:firstLine="720"/>
              <w:jc w:val="both"/>
              <w:rPr>
                <w:rFonts w:eastAsia="Calibri"/>
                <w:b/>
                <w:sz w:val="28"/>
                <w:szCs w:val="28"/>
                <w:lang w:eastAsia="en-US"/>
              </w:rPr>
            </w:pPr>
          </w:p>
          <w:p w:rsidR="00994FE4" w:rsidRPr="00994FE4" w:rsidRDefault="00994FE4" w:rsidP="00994FE4">
            <w:pPr>
              <w:ind w:firstLine="720"/>
              <w:jc w:val="both"/>
              <w:rPr>
                <w:rFonts w:eastAsia="Calibri"/>
                <w:sz w:val="26"/>
                <w:szCs w:val="26"/>
                <w:lang w:eastAsia="en-US"/>
              </w:rPr>
            </w:pPr>
            <w:r w:rsidRPr="00994FE4">
              <w:rPr>
                <w:rFonts w:eastAsia="Calibri"/>
                <w:b/>
                <w:sz w:val="26"/>
                <w:szCs w:val="26"/>
                <w:lang w:eastAsia="en-US"/>
              </w:rPr>
              <w:t>Статья 14-2</w:t>
            </w:r>
            <w:r w:rsidRPr="00994FE4">
              <w:rPr>
                <w:rFonts w:eastAsia="Calibri"/>
                <w:sz w:val="26"/>
                <w:szCs w:val="26"/>
                <w:lang w:eastAsia="en-US"/>
              </w:rPr>
              <w:t>. Порядок ограничения доступа к информации, распространяемой с нарушением закона</w:t>
            </w:r>
          </w:p>
          <w:p w:rsidR="00994FE4" w:rsidRPr="00994FE4" w:rsidRDefault="00994FE4" w:rsidP="00994FE4">
            <w:pPr>
              <w:ind w:firstLine="720"/>
              <w:jc w:val="both"/>
              <w:rPr>
                <w:rFonts w:eastAsia="Calibri"/>
                <w:sz w:val="26"/>
                <w:szCs w:val="26"/>
                <w:lang w:eastAsia="en-US"/>
              </w:rPr>
            </w:pPr>
            <w:r w:rsidRPr="00994FE4">
              <w:rPr>
                <w:rFonts w:eastAsia="Calibri"/>
                <w:sz w:val="26"/>
                <w:szCs w:val="26"/>
                <w:lang w:eastAsia="en-US"/>
              </w:rPr>
              <w:t xml:space="preserve">1. В случае обнаружения в информационно-телекоммуникационных сетях, в том числе в глобальной сети Интернет, информации, содержащей призывы к массовым беспорядкам, призывы к участию в массовых (публичных) мероприятиях, проводимых с нарушением установленного законом порядка, а также информации, содержащей призывы к </w:t>
            </w:r>
            <w:r w:rsidRPr="00994FE4">
              <w:rPr>
                <w:rFonts w:eastAsia="Calibri"/>
                <w:sz w:val="26"/>
                <w:szCs w:val="26"/>
                <w:shd w:val="clear" w:color="auto" w:fill="FFFFFF"/>
                <w:lang w:eastAsia="en-US"/>
              </w:rPr>
              <w:t>осуществлению экстремистской деятельности (далее по тексту – информация, распространяемая с нарушением закона)</w:t>
            </w:r>
            <w:r w:rsidRPr="00994FE4">
              <w:rPr>
                <w:rFonts w:eastAsia="Calibri"/>
                <w:sz w:val="26"/>
                <w:szCs w:val="26"/>
                <w:lang w:eastAsia="en-US"/>
              </w:rPr>
              <w:t>, включая случай поступления уведомления в Прокуратуру Приднестровской Молдавской Республики о распространении такой информации от органов государственной власти и управления, органов местной власти, организаций или граждан, Прокурор Приднестровской Молдавской Республики или его заместители направляют представление в уполномоченный Правительством Приднестровской Молдавской Республики исполнительный орган государственной власти в области информационных технологий о принятии мер по ограничению доступа к информационным ресурсам, распространяющим такую информацию.</w:t>
            </w:r>
          </w:p>
          <w:p w:rsidR="005D205F" w:rsidRPr="006C4C2F" w:rsidRDefault="00994FE4" w:rsidP="00997AAB">
            <w:pPr>
              <w:ind w:firstLine="709"/>
              <w:jc w:val="both"/>
              <w:rPr>
                <w:b/>
                <w:sz w:val="26"/>
                <w:szCs w:val="26"/>
              </w:rPr>
            </w:pPr>
            <w:r w:rsidRPr="00994FE4">
              <w:rPr>
                <w:b/>
                <w:sz w:val="26"/>
                <w:szCs w:val="26"/>
              </w:rPr>
              <w:t>*********************************</w:t>
            </w:r>
          </w:p>
        </w:tc>
        <w:tc>
          <w:tcPr>
            <w:tcW w:w="5129" w:type="dxa"/>
          </w:tcPr>
          <w:p w:rsidR="00994FE4" w:rsidRPr="00994FE4" w:rsidRDefault="00994FE4" w:rsidP="00994FE4">
            <w:pPr>
              <w:ind w:firstLine="720"/>
              <w:jc w:val="both"/>
              <w:rPr>
                <w:rFonts w:eastAsia="Calibri"/>
                <w:b/>
                <w:sz w:val="28"/>
                <w:szCs w:val="28"/>
                <w:u w:val="single"/>
                <w:lang w:eastAsia="en-US"/>
              </w:rPr>
            </w:pPr>
            <w:r w:rsidRPr="00994FE4">
              <w:rPr>
                <w:rFonts w:eastAsia="Calibri"/>
                <w:b/>
                <w:sz w:val="28"/>
                <w:szCs w:val="28"/>
                <w:u w:val="single"/>
                <w:lang w:eastAsia="en-US"/>
              </w:rPr>
              <w:t>Пункт 1 статьи 14-2</w:t>
            </w:r>
          </w:p>
          <w:p w:rsidR="00994FE4" w:rsidRDefault="00994FE4" w:rsidP="00994FE4">
            <w:pPr>
              <w:ind w:firstLine="720"/>
              <w:jc w:val="both"/>
              <w:rPr>
                <w:rFonts w:eastAsia="Calibri"/>
                <w:b/>
                <w:sz w:val="28"/>
                <w:szCs w:val="28"/>
                <w:lang w:eastAsia="en-US"/>
              </w:rPr>
            </w:pPr>
          </w:p>
          <w:p w:rsidR="00994FE4" w:rsidRPr="00994FE4" w:rsidRDefault="00994FE4" w:rsidP="00994FE4">
            <w:pPr>
              <w:ind w:firstLine="720"/>
              <w:jc w:val="both"/>
              <w:rPr>
                <w:rFonts w:eastAsia="Calibri"/>
                <w:sz w:val="26"/>
                <w:szCs w:val="26"/>
                <w:lang w:eastAsia="en-US"/>
              </w:rPr>
            </w:pPr>
            <w:r w:rsidRPr="00994FE4">
              <w:rPr>
                <w:rFonts w:eastAsia="Calibri"/>
                <w:b/>
                <w:sz w:val="26"/>
                <w:szCs w:val="26"/>
                <w:lang w:eastAsia="en-US"/>
              </w:rPr>
              <w:t>Статья 14-2</w:t>
            </w:r>
            <w:r w:rsidRPr="00994FE4">
              <w:rPr>
                <w:rFonts w:eastAsia="Calibri"/>
                <w:sz w:val="26"/>
                <w:szCs w:val="26"/>
                <w:lang w:eastAsia="en-US"/>
              </w:rPr>
              <w:t>. Порядок ограничения доступа к информации, распространяемой с нарушением закона</w:t>
            </w:r>
          </w:p>
          <w:p w:rsidR="00994FE4" w:rsidRPr="00994FE4" w:rsidRDefault="00994FE4" w:rsidP="00994FE4">
            <w:pPr>
              <w:ind w:firstLine="720"/>
              <w:jc w:val="both"/>
              <w:rPr>
                <w:rFonts w:eastAsia="Calibri"/>
                <w:sz w:val="26"/>
                <w:szCs w:val="26"/>
                <w:lang w:eastAsia="en-US"/>
              </w:rPr>
            </w:pPr>
            <w:r w:rsidRPr="00994FE4">
              <w:rPr>
                <w:rFonts w:eastAsia="Calibri"/>
                <w:sz w:val="26"/>
                <w:szCs w:val="26"/>
                <w:lang w:eastAsia="en-US"/>
              </w:rPr>
              <w:t xml:space="preserve">1. В случае обнаружения в информационно-телекоммуникационных сетях, в том числе в глобальной сети Интернет, информации, содержащей призывы к массовым беспорядкам, призывы к участию в массовых (публичных) мероприятиях, проводимых с нарушением установленного законом порядка, а также информации, содержащей призывы к </w:t>
            </w:r>
            <w:r w:rsidRPr="00994FE4">
              <w:rPr>
                <w:rFonts w:eastAsia="Calibri"/>
                <w:sz w:val="26"/>
                <w:szCs w:val="26"/>
                <w:shd w:val="clear" w:color="auto" w:fill="FFFFFF"/>
                <w:lang w:eastAsia="en-US"/>
              </w:rPr>
              <w:t>осуществлению экстремистской деятельности</w:t>
            </w:r>
            <w:r w:rsidRPr="00994FE4">
              <w:rPr>
                <w:rFonts w:eastAsia="Calibri"/>
                <w:sz w:val="26"/>
                <w:szCs w:val="26"/>
                <w:shd w:val="clear" w:color="auto" w:fill="FFFFFF"/>
                <w:lang w:eastAsia="en-US"/>
              </w:rPr>
              <w:t>,</w:t>
            </w:r>
            <w:r>
              <w:rPr>
                <w:rFonts w:eastAsia="Calibri"/>
                <w:b/>
                <w:sz w:val="26"/>
                <w:szCs w:val="26"/>
                <w:shd w:val="clear" w:color="auto" w:fill="FFFFFF"/>
                <w:lang w:eastAsia="en-US"/>
              </w:rPr>
              <w:t xml:space="preserve"> </w:t>
            </w:r>
            <w:bookmarkStart w:id="0" w:name="_GoBack"/>
            <w:r>
              <w:rPr>
                <w:rFonts w:eastAsia="Calibri"/>
                <w:b/>
                <w:sz w:val="26"/>
                <w:szCs w:val="26"/>
                <w:shd w:val="clear" w:color="auto" w:fill="FFFFFF"/>
                <w:lang w:eastAsia="en-US"/>
              </w:rPr>
              <w:t>оскорбляющей человеческое достоинство и общественную нравственность, выражающую явное неуважение к обществу, содержащую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w:t>
            </w:r>
            <w:r w:rsidRPr="00994FE4">
              <w:rPr>
                <w:rFonts w:eastAsia="Calibri"/>
                <w:sz w:val="26"/>
                <w:szCs w:val="26"/>
                <w:shd w:val="clear" w:color="auto" w:fill="FFFFFF"/>
                <w:lang w:eastAsia="en-US"/>
              </w:rPr>
              <w:t xml:space="preserve"> </w:t>
            </w:r>
            <w:bookmarkEnd w:id="0"/>
            <w:r w:rsidRPr="00994FE4">
              <w:rPr>
                <w:rFonts w:eastAsia="Calibri"/>
                <w:sz w:val="26"/>
                <w:szCs w:val="26"/>
                <w:shd w:val="clear" w:color="auto" w:fill="FFFFFF"/>
                <w:lang w:eastAsia="en-US"/>
              </w:rPr>
              <w:t>(далее по тексту – информация, распространяемая с нарушением закона)</w:t>
            </w:r>
            <w:r w:rsidRPr="00994FE4">
              <w:rPr>
                <w:rFonts w:eastAsia="Calibri"/>
                <w:sz w:val="26"/>
                <w:szCs w:val="26"/>
                <w:lang w:eastAsia="en-US"/>
              </w:rPr>
              <w:t>, включая случай поступления уведомления в Прокуратуру Приднестровской Молдавской Республики о распространении такой информации от органов государственной власти и управления, органов местной власти, организаций или граждан, Прокурор Приднестровской Молдавской Республики или его заместители направляют представление в уполномоченный Правительством Приднестровской Молдавской Республики исполнительный орган государственной власти в области информационных технологий о принятии мер по ограничению доступа к информационным ресурсам, распространяющим такую информацию.</w:t>
            </w:r>
          </w:p>
          <w:p w:rsidR="005D205F" w:rsidRDefault="00994FE4" w:rsidP="00994FE4">
            <w:pPr>
              <w:shd w:val="clear" w:color="auto" w:fill="FFFFFF"/>
              <w:ind w:firstLine="540"/>
              <w:jc w:val="both"/>
              <w:rPr>
                <w:b/>
                <w:sz w:val="26"/>
                <w:szCs w:val="26"/>
              </w:rPr>
            </w:pPr>
            <w:r w:rsidRPr="00994FE4">
              <w:rPr>
                <w:b/>
                <w:sz w:val="26"/>
                <w:szCs w:val="26"/>
              </w:rPr>
              <w:t>*********************************</w:t>
            </w:r>
          </w:p>
          <w:p w:rsidR="00994FE4" w:rsidRPr="006C4C2F" w:rsidRDefault="00994FE4" w:rsidP="00994FE4">
            <w:pPr>
              <w:shd w:val="clear" w:color="auto" w:fill="FFFFFF"/>
              <w:ind w:firstLine="540"/>
              <w:jc w:val="both"/>
              <w:rPr>
                <w:b/>
                <w:sz w:val="26"/>
                <w:szCs w:val="26"/>
              </w:rPr>
            </w:pPr>
          </w:p>
        </w:tc>
      </w:tr>
    </w:tbl>
    <w:p w:rsidR="00C8399A" w:rsidRDefault="00C8399A"/>
    <w:sectPr w:rsidR="00C8399A" w:rsidSect="00994FE4">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02"/>
    <w:rsid w:val="000051F8"/>
    <w:rsid w:val="00005D0E"/>
    <w:rsid w:val="00006593"/>
    <w:rsid w:val="00015643"/>
    <w:rsid w:val="00016CA5"/>
    <w:rsid w:val="000229FA"/>
    <w:rsid w:val="00023F29"/>
    <w:rsid w:val="000411D4"/>
    <w:rsid w:val="000430D9"/>
    <w:rsid w:val="000458AA"/>
    <w:rsid w:val="00046EA0"/>
    <w:rsid w:val="00061011"/>
    <w:rsid w:val="00067B3E"/>
    <w:rsid w:val="00070243"/>
    <w:rsid w:val="000A114B"/>
    <w:rsid w:val="000B1339"/>
    <w:rsid w:val="000B2F9B"/>
    <w:rsid w:val="000E2FD5"/>
    <w:rsid w:val="000F2F32"/>
    <w:rsid w:val="00100883"/>
    <w:rsid w:val="00101D68"/>
    <w:rsid w:val="00116D06"/>
    <w:rsid w:val="001263BD"/>
    <w:rsid w:val="001470AE"/>
    <w:rsid w:val="00172666"/>
    <w:rsid w:val="001868A1"/>
    <w:rsid w:val="00186BA1"/>
    <w:rsid w:val="00193CBA"/>
    <w:rsid w:val="001E713E"/>
    <w:rsid w:val="00214B02"/>
    <w:rsid w:val="00214BFA"/>
    <w:rsid w:val="00257DE8"/>
    <w:rsid w:val="00262F39"/>
    <w:rsid w:val="00291D74"/>
    <w:rsid w:val="002A054E"/>
    <w:rsid w:val="002B0A16"/>
    <w:rsid w:val="002D1529"/>
    <w:rsid w:val="002D18FD"/>
    <w:rsid w:val="002F409A"/>
    <w:rsid w:val="00307816"/>
    <w:rsid w:val="003244DF"/>
    <w:rsid w:val="00327881"/>
    <w:rsid w:val="00334F02"/>
    <w:rsid w:val="003422E9"/>
    <w:rsid w:val="00345454"/>
    <w:rsid w:val="00362A07"/>
    <w:rsid w:val="003B620F"/>
    <w:rsid w:val="003C1856"/>
    <w:rsid w:val="003E4F1E"/>
    <w:rsid w:val="004072A2"/>
    <w:rsid w:val="00407BE8"/>
    <w:rsid w:val="004116AE"/>
    <w:rsid w:val="0042426A"/>
    <w:rsid w:val="00424B65"/>
    <w:rsid w:val="004277A5"/>
    <w:rsid w:val="0047314A"/>
    <w:rsid w:val="00492D92"/>
    <w:rsid w:val="004A00C2"/>
    <w:rsid w:val="004A427B"/>
    <w:rsid w:val="004A5F6B"/>
    <w:rsid w:val="004D0A8A"/>
    <w:rsid w:val="004D78CF"/>
    <w:rsid w:val="004E0BD4"/>
    <w:rsid w:val="004F3F5C"/>
    <w:rsid w:val="004F60E2"/>
    <w:rsid w:val="00523706"/>
    <w:rsid w:val="00554E4D"/>
    <w:rsid w:val="00570113"/>
    <w:rsid w:val="0058792F"/>
    <w:rsid w:val="005D205F"/>
    <w:rsid w:val="005D44E3"/>
    <w:rsid w:val="005D5019"/>
    <w:rsid w:val="005F780E"/>
    <w:rsid w:val="0060452C"/>
    <w:rsid w:val="00611FA4"/>
    <w:rsid w:val="006515ED"/>
    <w:rsid w:val="00656DBD"/>
    <w:rsid w:val="006600A0"/>
    <w:rsid w:val="0066524F"/>
    <w:rsid w:val="00672FEC"/>
    <w:rsid w:val="006759C1"/>
    <w:rsid w:val="0068005F"/>
    <w:rsid w:val="0068489F"/>
    <w:rsid w:val="006C4C2F"/>
    <w:rsid w:val="006D628A"/>
    <w:rsid w:val="006D7A12"/>
    <w:rsid w:val="006F7D0A"/>
    <w:rsid w:val="00701478"/>
    <w:rsid w:val="00731E1B"/>
    <w:rsid w:val="00771830"/>
    <w:rsid w:val="00784D29"/>
    <w:rsid w:val="007A0F0C"/>
    <w:rsid w:val="007A3778"/>
    <w:rsid w:val="007A547F"/>
    <w:rsid w:val="007A614F"/>
    <w:rsid w:val="007B09AC"/>
    <w:rsid w:val="007B6646"/>
    <w:rsid w:val="008105E0"/>
    <w:rsid w:val="008314A5"/>
    <w:rsid w:val="00833952"/>
    <w:rsid w:val="00857199"/>
    <w:rsid w:val="00882C24"/>
    <w:rsid w:val="00891CB6"/>
    <w:rsid w:val="008A6CF9"/>
    <w:rsid w:val="008B7173"/>
    <w:rsid w:val="008D0AE3"/>
    <w:rsid w:val="008E5F24"/>
    <w:rsid w:val="00906279"/>
    <w:rsid w:val="00910FEA"/>
    <w:rsid w:val="0091231B"/>
    <w:rsid w:val="00927066"/>
    <w:rsid w:val="00947ACF"/>
    <w:rsid w:val="00955321"/>
    <w:rsid w:val="00957168"/>
    <w:rsid w:val="00960836"/>
    <w:rsid w:val="0096117D"/>
    <w:rsid w:val="0096325B"/>
    <w:rsid w:val="00963B85"/>
    <w:rsid w:val="00972AC3"/>
    <w:rsid w:val="00974908"/>
    <w:rsid w:val="009759E8"/>
    <w:rsid w:val="00981F06"/>
    <w:rsid w:val="00990532"/>
    <w:rsid w:val="00990A70"/>
    <w:rsid w:val="00994FE4"/>
    <w:rsid w:val="009957A8"/>
    <w:rsid w:val="00997AAB"/>
    <w:rsid w:val="009B119C"/>
    <w:rsid w:val="009D2336"/>
    <w:rsid w:val="009F0E6A"/>
    <w:rsid w:val="00A041BB"/>
    <w:rsid w:val="00A04AE6"/>
    <w:rsid w:val="00A17F6E"/>
    <w:rsid w:val="00A2074A"/>
    <w:rsid w:val="00A37B60"/>
    <w:rsid w:val="00A52D7F"/>
    <w:rsid w:val="00A53F80"/>
    <w:rsid w:val="00A61E21"/>
    <w:rsid w:val="00A96113"/>
    <w:rsid w:val="00AA1115"/>
    <w:rsid w:val="00AB366A"/>
    <w:rsid w:val="00AB7118"/>
    <w:rsid w:val="00AC5D87"/>
    <w:rsid w:val="00AD69AC"/>
    <w:rsid w:val="00AD7FC7"/>
    <w:rsid w:val="00AF0CED"/>
    <w:rsid w:val="00AF31BD"/>
    <w:rsid w:val="00B011A0"/>
    <w:rsid w:val="00B11CEE"/>
    <w:rsid w:val="00B14FF9"/>
    <w:rsid w:val="00B16231"/>
    <w:rsid w:val="00B22C7E"/>
    <w:rsid w:val="00B23F7C"/>
    <w:rsid w:val="00B62C2D"/>
    <w:rsid w:val="00B665A1"/>
    <w:rsid w:val="00B74EBB"/>
    <w:rsid w:val="00B86086"/>
    <w:rsid w:val="00B87026"/>
    <w:rsid w:val="00B907C7"/>
    <w:rsid w:val="00B93499"/>
    <w:rsid w:val="00B9363B"/>
    <w:rsid w:val="00BB06B6"/>
    <w:rsid w:val="00BB3FF1"/>
    <w:rsid w:val="00BB6564"/>
    <w:rsid w:val="00BB7091"/>
    <w:rsid w:val="00BC6A23"/>
    <w:rsid w:val="00BD61AE"/>
    <w:rsid w:val="00C01B2F"/>
    <w:rsid w:val="00C3370A"/>
    <w:rsid w:val="00C42B92"/>
    <w:rsid w:val="00C46AF7"/>
    <w:rsid w:val="00C50ECB"/>
    <w:rsid w:val="00C61922"/>
    <w:rsid w:val="00C77E4C"/>
    <w:rsid w:val="00C8399A"/>
    <w:rsid w:val="00CA7A1A"/>
    <w:rsid w:val="00CB201C"/>
    <w:rsid w:val="00CC30C5"/>
    <w:rsid w:val="00CF653B"/>
    <w:rsid w:val="00D02E37"/>
    <w:rsid w:val="00D0753E"/>
    <w:rsid w:val="00D21A3B"/>
    <w:rsid w:val="00D41FE6"/>
    <w:rsid w:val="00D5320B"/>
    <w:rsid w:val="00D57784"/>
    <w:rsid w:val="00D6588D"/>
    <w:rsid w:val="00D70929"/>
    <w:rsid w:val="00D85DBE"/>
    <w:rsid w:val="00D94438"/>
    <w:rsid w:val="00DA3637"/>
    <w:rsid w:val="00DB3AE5"/>
    <w:rsid w:val="00DB4457"/>
    <w:rsid w:val="00DC0B48"/>
    <w:rsid w:val="00DE36C1"/>
    <w:rsid w:val="00DE3791"/>
    <w:rsid w:val="00DE4B12"/>
    <w:rsid w:val="00E07834"/>
    <w:rsid w:val="00E11D45"/>
    <w:rsid w:val="00E15E95"/>
    <w:rsid w:val="00E225AB"/>
    <w:rsid w:val="00E4222C"/>
    <w:rsid w:val="00E53A97"/>
    <w:rsid w:val="00E617DE"/>
    <w:rsid w:val="00E658E3"/>
    <w:rsid w:val="00E84173"/>
    <w:rsid w:val="00E87CBD"/>
    <w:rsid w:val="00E907A0"/>
    <w:rsid w:val="00EA2931"/>
    <w:rsid w:val="00EA5FB9"/>
    <w:rsid w:val="00EB31DF"/>
    <w:rsid w:val="00EC4625"/>
    <w:rsid w:val="00F01E83"/>
    <w:rsid w:val="00F04BA7"/>
    <w:rsid w:val="00F21DEC"/>
    <w:rsid w:val="00F243CE"/>
    <w:rsid w:val="00F34759"/>
    <w:rsid w:val="00F34F03"/>
    <w:rsid w:val="00F657D1"/>
    <w:rsid w:val="00F84B57"/>
    <w:rsid w:val="00FB5191"/>
    <w:rsid w:val="00FB77F3"/>
    <w:rsid w:val="00FF3562"/>
    <w:rsid w:val="00FF4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A5B2"/>
  <w15:chartTrackingRefBased/>
  <w15:docId w15:val="{D232F174-0508-484A-B006-F9C049CA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1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 ,З"/>
    <w:basedOn w:val="a"/>
    <w:link w:val="1"/>
    <w:rsid w:val="00FB5191"/>
    <w:rPr>
      <w:rFonts w:ascii="Courier New" w:hAnsi="Courier New" w:cs="Courier New"/>
      <w:sz w:val="20"/>
      <w:szCs w:val="20"/>
    </w:rPr>
  </w:style>
  <w:style w:type="character" w:customStyle="1" w:styleId="a4">
    <w:name w:val="Текст Знак"/>
    <w:basedOn w:val="a0"/>
    <w:uiPriority w:val="99"/>
    <w:semiHidden/>
    <w:rsid w:val="00FB5191"/>
    <w:rPr>
      <w:rFonts w:ascii="Consolas" w:eastAsia="Times New Roman" w:hAnsi="Consolas" w:cs="Consolas"/>
      <w:sz w:val="21"/>
      <w:szCs w:val="21"/>
      <w:lang w:eastAsia="ru-RU"/>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3"/>
    <w:rsid w:val="00FB5191"/>
    <w:rPr>
      <w:rFonts w:ascii="Courier New" w:eastAsia="Times New Roman" w:hAnsi="Courier New" w:cs="Courier New"/>
      <w:sz w:val="20"/>
      <w:szCs w:val="20"/>
      <w:lang w:eastAsia="ru-RU"/>
    </w:rPr>
  </w:style>
  <w:style w:type="paragraph" w:customStyle="1" w:styleId="a5">
    <w:basedOn w:val="a"/>
    <w:next w:val="a6"/>
    <w:qFormat/>
    <w:rsid w:val="00FB5191"/>
    <w:pPr>
      <w:spacing w:line="360" w:lineRule="auto"/>
      <w:jc w:val="center"/>
    </w:pPr>
    <w:rPr>
      <w:b/>
      <w:bCs/>
      <w:iCs/>
    </w:rPr>
  </w:style>
  <w:style w:type="character" w:customStyle="1" w:styleId="blk">
    <w:name w:val="blk"/>
    <w:basedOn w:val="a0"/>
    <w:rsid w:val="00FB5191"/>
  </w:style>
  <w:style w:type="paragraph" w:styleId="a6">
    <w:name w:val="Title"/>
    <w:basedOn w:val="a"/>
    <w:next w:val="a"/>
    <w:link w:val="a7"/>
    <w:uiPriority w:val="10"/>
    <w:qFormat/>
    <w:rsid w:val="00FB5191"/>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FB5191"/>
    <w:rPr>
      <w:rFonts w:asciiTheme="majorHAnsi" w:eastAsiaTheme="majorEastAsia" w:hAnsiTheme="majorHAnsi" w:cstheme="majorBidi"/>
      <w:spacing w:val="-10"/>
      <w:kern w:val="28"/>
      <w:sz w:val="56"/>
      <w:szCs w:val="56"/>
      <w:lang w:eastAsia="ru-RU"/>
    </w:rPr>
  </w:style>
  <w:style w:type="paragraph" w:styleId="a8">
    <w:name w:val="Balloon Text"/>
    <w:basedOn w:val="a"/>
    <w:link w:val="a9"/>
    <w:uiPriority w:val="99"/>
    <w:semiHidden/>
    <w:unhideWhenUsed/>
    <w:rsid w:val="0096117D"/>
    <w:rPr>
      <w:rFonts w:ascii="Segoe UI" w:hAnsi="Segoe UI" w:cs="Segoe UI"/>
      <w:sz w:val="18"/>
      <w:szCs w:val="18"/>
    </w:rPr>
  </w:style>
  <w:style w:type="character" w:customStyle="1" w:styleId="a9">
    <w:name w:val="Текст выноски Знак"/>
    <w:basedOn w:val="a0"/>
    <w:link w:val="a8"/>
    <w:uiPriority w:val="99"/>
    <w:semiHidden/>
    <w:rsid w:val="0096117D"/>
    <w:rPr>
      <w:rFonts w:ascii="Segoe UI" w:eastAsia="Times New Roman" w:hAnsi="Segoe UI" w:cs="Segoe UI"/>
      <w:sz w:val="18"/>
      <w:szCs w:val="18"/>
      <w:lang w:eastAsia="ru-RU"/>
    </w:rPr>
  </w:style>
  <w:style w:type="character" w:styleId="aa">
    <w:name w:val="Hyperlink"/>
    <w:basedOn w:val="a0"/>
    <w:uiPriority w:val="99"/>
    <w:unhideWhenUsed/>
    <w:rsid w:val="00A61E21"/>
    <w:rPr>
      <w:color w:val="0000FF"/>
      <w:u w:val="single"/>
    </w:rPr>
  </w:style>
  <w:style w:type="paragraph" w:customStyle="1" w:styleId="10">
    <w:name w:val="Без интервала1"/>
    <w:link w:val="NoSpacingChar"/>
    <w:rsid w:val="00523706"/>
    <w:pPr>
      <w:spacing w:after="0" w:line="240" w:lineRule="auto"/>
    </w:pPr>
    <w:rPr>
      <w:rFonts w:ascii="Calibri" w:eastAsia="Times New Roman" w:hAnsi="Calibri" w:cs="Times New Roman"/>
      <w:lang w:eastAsia="ru-RU"/>
    </w:rPr>
  </w:style>
  <w:style w:type="character" w:customStyle="1" w:styleId="NoSpacingChar">
    <w:name w:val="No Spacing Char"/>
    <w:link w:val="10"/>
    <w:locked/>
    <w:rsid w:val="00523706"/>
    <w:rPr>
      <w:rFonts w:ascii="Calibri" w:eastAsia="Times New Roman" w:hAnsi="Calibri" w:cs="Times New Roman"/>
      <w:lang w:eastAsia="ru-RU"/>
    </w:rPr>
  </w:style>
  <w:style w:type="paragraph" w:styleId="ab">
    <w:name w:val="List Paragraph"/>
    <w:basedOn w:val="a"/>
    <w:uiPriority w:val="34"/>
    <w:qFormat/>
    <w:rsid w:val="00523706"/>
    <w:pPr>
      <w:ind w:left="720"/>
      <w:contextualSpacing/>
    </w:pPr>
  </w:style>
  <w:style w:type="paragraph" w:styleId="ac">
    <w:name w:val="Normal (Web)"/>
    <w:basedOn w:val="a"/>
    <w:rsid w:val="00997AAB"/>
    <w:pPr>
      <w:spacing w:before="150" w:after="150" w:line="195" w:lineRule="atLeast"/>
      <w:ind w:left="150" w:right="15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3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1784</TotalTime>
  <Pages>1</Pages>
  <Words>420</Words>
  <Characters>2395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Рудковская Татьяна Юрьевна</dc:creator>
  <cp:keywords/>
  <dc:description/>
  <cp:lastModifiedBy>Рудковская Татьяна Юрьевна</cp:lastModifiedBy>
  <cp:revision>176</cp:revision>
  <cp:lastPrinted>2025-02-18T15:09:00Z</cp:lastPrinted>
  <dcterms:created xsi:type="dcterms:W3CDTF">2021-05-06T13:22:00Z</dcterms:created>
  <dcterms:modified xsi:type="dcterms:W3CDTF">2025-02-18T15:21:00Z</dcterms:modified>
</cp:coreProperties>
</file>