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A14" w:rsidRPr="006A0A14" w:rsidRDefault="006A0A14" w:rsidP="006A0A14">
      <w:pPr>
        <w:jc w:val="center"/>
        <w:outlineLvl w:val="0"/>
        <w:rPr>
          <w:spacing w:val="0"/>
        </w:rPr>
      </w:pPr>
      <w:r w:rsidRPr="006A0A14">
        <w:rPr>
          <w:spacing w:val="0"/>
        </w:rPr>
        <w:t>BAZ</w:t>
      </w:r>
    </w:p>
    <w:p w:rsidR="00490ACC" w:rsidRPr="00CF5CC0" w:rsidRDefault="00490ACC" w:rsidP="00E6473E">
      <w:pPr>
        <w:pStyle w:val="41"/>
        <w:shd w:val="clear" w:color="auto" w:fill="auto"/>
        <w:spacing w:before="0" w:after="0" w:line="240" w:lineRule="auto"/>
        <w:jc w:val="center"/>
        <w:rPr>
          <w:spacing w:val="0"/>
          <w:sz w:val="28"/>
          <w:szCs w:val="28"/>
        </w:rPr>
      </w:pPr>
    </w:p>
    <w:p w:rsidR="00CC2DCC" w:rsidRPr="00CC2DCC" w:rsidRDefault="006A0A14" w:rsidP="00CC2DCC">
      <w:pPr>
        <w:jc w:val="center"/>
        <w:rPr>
          <w:b/>
          <w:spacing w:val="0"/>
        </w:rPr>
      </w:pPr>
      <w:r w:rsidRPr="00CC2DCC">
        <w:rPr>
          <w:b/>
          <w:spacing w:val="0"/>
        </w:rPr>
        <w:t>ОБ УТВЕРЖДЕНИИ ГОСУДАРСТВЕННОЙ ЦЕЛЕВОЙ ПРОГРАММЫ</w:t>
      </w:r>
    </w:p>
    <w:p w:rsidR="00CC2DCC" w:rsidRPr="00CC2DCC" w:rsidRDefault="006A0A14" w:rsidP="00CC2DCC">
      <w:pPr>
        <w:jc w:val="center"/>
        <w:rPr>
          <w:b/>
          <w:spacing w:val="0"/>
        </w:rPr>
      </w:pPr>
      <w:bookmarkStart w:id="0" w:name="_Hlk146528609"/>
      <w:r w:rsidRPr="00CC2DCC">
        <w:rPr>
          <w:b/>
          <w:spacing w:val="0"/>
        </w:rPr>
        <w:t xml:space="preserve">«ЗАМЕНА СВЕТИЛЬНИКОВ С РТУТЬСОДЕРЖАЩИМИ ЛАМПАМИ УЛИЧНОГО ОСВЕЩЕНИЯ АВТОМОБИЛЬНЫХ ДОРОГ ОБЩЕГО ПОЛЬЗОВАНИЯ </w:t>
      </w:r>
    </w:p>
    <w:p w:rsidR="00CC2DCC" w:rsidRPr="00CC2DCC" w:rsidRDefault="006A0A14" w:rsidP="00CC2DCC">
      <w:pPr>
        <w:jc w:val="center"/>
        <w:rPr>
          <w:b/>
          <w:spacing w:val="0"/>
        </w:rPr>
      </w:pPr>
      <w:r w:rsidRPr="00CC2DCC">
        <w:rPr>
          <w:b/>
          <w:spacing w:val="0"/>
        </w:rPr>
        <w:t xml:space="preserve">ПРИДНЕСТРОВСКОЙ МОЛДАВСКОЙ РЕСПУБЛИКИ, </w:t>
      </w:r>
    </w:p>
    <w:p w:rsidR="00CC2DCC" w:rsidRPr="00CC2DCC" w:rsidRDefault="006A0A14" w:rsidP="00CC2DCC">
      <w:pPr>
        <w:jc w:val="center"/>
        <w:rPr>
          <w:b/>
          <w:spacing w:val="0"/>
        </w:rPr>
      </w:pPr>
      <w:r w:rsidRPr="00CC2DCC">
        <w:rPr>
          <w:b/>
          <w:spacing w:val="0"/>
        </w:rPr>
        <w:t xml:space="preserve">НАХОДЯЩИХСЯ В ГОСУДАРСТВЕННОЙ И МУНИЦИПАЛЬНОЙ СОБСТВЕННОСТИ, </w:t>
      </w:r>
    </w:p>
    <w:p w:rsidR="008D1DEF" w:rsidRPr="00CC2DCC" w:rsidRDefault="006A0A14" w:rsidP="00CC2DCC">
      <w:pPr>
        <w:jc w:val="center"/>
        <w:rPr>
          <w:b/>
          <w:spacing w:val="0"/>
        </w:rPr>
      </w:pPr>
      <w:r w:rsidRPr="00CC2DCC">
        <w:rPr>
          <w:b/>
          <w:spacing w:val="0"/>
        </w:rPr>
        <w:t>НА СВЕТОДИОДНЫЕ СВЕТИЛЬНИКИ» НА 2024</w:t>
      </w:r>
      <w:r>
        <w:rPr>
          <w:b/>
          <w:spacing w:val="0"/>
        </w:rPr>
        <w:t>–</w:t>
      </w:r>
      <w:r w:rsidRPr="00CC2DCC">
        <w:rPr>
          <w:b/>
          <w:spacing w:val="0"/>
        </w:rPr>
        <w:t>2028 ГОД</w:t>
      </w:r>
      <w:bookmarkEnd w:id="0"/>
      <w:r w:rsidRPr="00CC2DCC">
        <w:rPr>
          <w:b/>
          <w:spacing w:val="0"/>
        </w:rPr>
        <w:t>Ы</w:t>
      </w:r>
      <w:r>
        <w:rPr>
          <w:b/>
          <w:spacing w:val="0"/>
        </w:rPr>
        <w:t>»</w:t>
      </w:r>
    </w:p>
    <w:p w:rsidR="006A0A14" w:rsidRPr="006A0A14" w:rsidRDefault="006A0A14" w:rsidP="006A0A14">
      <w:pPr>
        <w:jc w:val="center"/>
        <w:outlineLvl w:val="0"/>
        <w:rPr>
          <w:spacing w:val="0"/>
        </w:rPr>
      </w:pPr>
      <w:r w:rsidRPr="006A0A14">
        <w:rPr>
          <w:spacing w:val="0"/>
        </w:rPr>
        <w:t>(ТЕКУЩАЯ РЕДАКЦИЯ ПО СОСТОЯНИЮ НА 28 МАЯ 2025 ГОДА)</w:t>
      </w:r>
    </w:p>
    <w:p w:rsidR="006A0A14" w:rsidRPr="006A0A14" w:rsidRDefault="006A0A14" w:rsidP="006A0A14">
      <w:pPr>
        <w:jc w:val="center"/>
        <w:outlineLvl w:val="0"/>
        <w:rPr>
          <w:spacing w:val="0"/>
        </w:rPr>
      </w:pPr>
    </w:p>
    <w:p w:rsidR="006A0A14" w:rsidRPr="006A0A14" w:rsidRDefault="006A0A14" w:rsidP="006A0A14">
      <w:pPr>
        <w:jc w:val="center"/>
        <w:outlineLvl w:val="0"/>
        <w:rPr>
          <w:spacing w:val="0"/>
        </w:rPr>
      </w:pPr>
      <w:r w:rsidRPr="006A0A14">
        <w:rPr>
          <w:spacing w:val="0"/>
        </w:rPr>
        <w:t>ЗАКОН</w:t>
      </w:r>
    </w:p>
    <w:p w:rsidR="006A0A14" w:rsidRPr="006A0A14" w:rsidRDefault="006A0A14" w:rsidP="006A0A14">
      <w:pPr>
        <w:jc w:val="center"/>
        <w:rPr>
          <w:spacing w:val="0"/>
        </w:rPr>
      </w:pPr>
    </w:p>
    <w:p w:rsidR="006A0A14" w:rsidRPr="006A0A14" w:rsidRDefault="006A0A14" w:rsidP="006A0A14">
      <w:pPr>
        <w:jc w:val="center"/>
        <w:outlineLvl w:val="0"/>
        <w:rPr>
          <w:spacing w:val="0"/>
        </w:rPr>
      </w:pPr>
      <w:r w:rsidRPr="006A0A14">
        <w:rPr>
          <w:spacing w:val="0"/>
        </w:rPr>
        <w:t>ПРЕЗИДЕНТ</w:t>
      </w:r>
    </w:p>
    <w:p w:rsidR="006A0A14" w:rsidRPr="006A0A14" w:rsidRDefault="006A0A14" w:rsidP="006A0A14">
      <w:pPr>
        <w:jc w:val="center"/>
        <w:outlineLvl w:val="0"/>
        <w:rPr>
          <w:spacing w:val="0"/>
        </w:rPr>
      </w:pPr>
      <w:r w:rsidRPr="006A0A14">
        <w:rPr>
          <w:spacing w:val="0"/>
        </w:rPr>
        <w:t>ПРИДНЕСТРОВСКОЙ МОЛДАВСКОЙ РЕСПУБЛИКИ</w:t>
      </w:r>
    </w:p>
    <w:p w:rsidR="006A0A14" w:rsidRPr="006A0A14" w:rsidRDefault="006A0A14" w:rsidP="006A0A14">
      <w:pPr>
        <w:ind w:firstLine="709"/>
        <w:jc w:val="both"/>
        <w:rPr>
          <w:spacing w:val="0"/>
        </w:rPr>
      </w:pPr>
    </w:p>
    <w:p w:rsidR="00CC2DCC" w:rsidRPr="00CC2DCC" w:rsidRDefault="00CC2DCC" w:rsidP="00CC2DCC">
      <w:pPr>
        <w:ind w:firstLine="709"/>
        <w:jc w:val="both"/>
        <w:rPr>
          <w:color w:val="000000"/>
          <w:spacing w:val="0"/>
          <w:shd w:val="clear" w:color="auto" w:fill="FFFFFF"/>
        </w:rPr>
      </w:pPr>
      <w:r w:rsidRPr="00CC2DCC">
        <w:rPr>
          <w:b/>
          <w:color w:val="000000"/>
          <w:spacing w:val="0"/>
          <w:shd w:val="clear" w:color="auto" w:fill="FFFFFF"/>
        </w:rPr>
        <w:t>Статья 1.</w:t>
      </w:r>
      <w:r w:rsidRPr="00CC2DCC">
        <w:rPr>
          <w:color w:val="000000"/>
          <w:spacing w:val="0"/>
          <w:shd w:val="clear" w:color="auto" w:fill="FFFFFF"/>
        </w:rPr>
        <w:t xml:space="preserve"> Утвердить государственную целевую программу «Замена светильников с ртутьсодержащими лампами уличного освещения автомобильных дорог общего пользования Приднестровской Молдавской Республики, находящихся в государственной и муниципальной собственности, на светодиодные светильники</w:t>
      </w:r>
      <w:r w:rsidRPr="00CC2DCC">
        <w:rPr>
          <w:spacing w:val="0"/>
        </w:rPr>
        <w:t>»</w:t>
      </w:r>
      <w:r w:rsidRPr="00CC2DCC">
        <w:rPr>
          <w:color w:val="000000"/>
          <w:spacing w:val="0"/>
          <w:shd w:val="clear" w:color="auto" w:fill="FFFFFF"/>
        </w:rPr>
        <w:t xml:space="preserve"> </w:t>
      </w:r>
      <w:r w:rsidRPr="00CC2DCC">
        <w:rPr>
          <w:spacing w:val="0"/>
        </w:rPr>
        <w:t>на 2024</w:t>
      </w:r>
      <w:r w:rsidR="00DD63C5">
        <w:rPr>
          <w:spacing w:val="0"/>
        </w:rPr>
        <w:t>–</w:t>
      </w:r>
      <w:r w:rsidRPr="00CC2DCC">
        <w:rPr>
          <w:spacing w:val="0"/>
        </w:rPr>
        <w:t xml:space="preserve">2028 годы </w:t>
      </w:r>
      <w:r w:rsidRPr="00CC2DCC">
        <w:rPr>
          <w:color w:val="000000"/>
          <w:spacing w:val="0"/>
          <w:shd w:val="clear" w:color="auto" w:fill="FFFFFF"/>
        </w:rPr>
        <w:t>(прилагается).</w:t>
      </w:r>
    </w:p>
    <w:p w:rsidR="00CC2DCC" w:rsidRPr="00CC2DCC" w:rsidRDefault="00CC2DCC" w:rsidP="00CC2DCC">
      <w:pPr>
        <w:ind w:firstLine="709"/>
        <w:jc w:val="both"/>
        <w:rPr>
          <w:color w:val="000000"/>
          <w:spacing w:val="0"/>
          <w:shd w:val="clear" w:color="auto" w:fill="FFFFFF"/>
        </w:rPr>
      </w:pPr>
    </w:p>
    <w:p w:rsidR="006978C9" w:rsidRPr="00CF5CC0" w:rsidRDefault="00CC2DCC" w:rsidP="00CC2DCC">
      <w:pPr>
        <w:ind w:firstLine="709"/>
        <w:contextualSpacing/>
        <w:jc w:val="both"/>
        <w:rPr>
          <w:spacing w:val="0"/>
        </w:rPr>
      </w:pPr>
      <w:r w:rsidRPr="00CC2DCC">
        <w:rPr>
          <w:b/>
          <w:color w:val="000000"/>
          <w:spacing w:val="0"/>
          <w:shd w:val="clear" w:color="auto" w:fill="FFFFFF"/>
        </w:rPr>
        <w:t>Статья 2.</w:t>
      </w:r>
      <w:r w:rsidRPr="00CC2DCC">
        <w:rPr>
          <w:color w:val="000000"/>
          <w:spacing w:val="0"/>
          <w:shd w:val="clear" w:color="auto" w:fill="FFFFFF"/>
        </w:rPr>
        <w:t xml:space="preserve"> </w:t>
      </w:r>
      <w:r w:rsidR="000275E9" w:rsidRPr="000275E9">
        <w:rPr>
          <w:bCs/>
          <w:color w:val="000000"/>
          <w:spacing w:val="0"/>
          <w:shd w:val="clear" w:color="auto" w:fill="FFFFFF"/>
        </w:rPr>
        <w:t>Настоящий Закон вступает в силу со дня, следующего за днем официального опубликования</w:t>
      </w:r>
      <w:r w:rsidRPr="00CC2DCC">
        <w:rPr>
          <w:rFonts w:eastAsia="Calibri"/>
          <w:color w:val="000000"/>
          <w:spacing w:val="0"/>
        </w:rPr>
        <w:t>.</w:t>
      </w:r>
    </w:p>
    <w:p w:rsidR="00311BC9" w:rsidRPr="00CF5CC0" w:rsidRDefault="00311BC9" w:rsidP="00E6473E">
      <w:pPr>
        <w:jc w:val="both"/>
        <w:rPr>
          <w:spacing w:val="0"/>
        </w:rPr>
      </w:pPr>
    </w:p>
    <w:p w:rsidR="00053CAD" w:rsidRDefault="00053CAD" w:rsidP="00E6473E">
      <w:pPr>
        <w:jc w:val="both"/>
        <w:rPr>
          <w:spacing w:val="0"/>
        </w:rPr>
      </w:pPr>
    </w:p>
    <w:p w:rsidR="002C6526" w:rsidRDefault="002C6526" w:rsidP="00E6473E">
      <w:pPr>
        <w:jc w:val="both"/>
        <w:rPr>
          <w:spacing w:val="0"/>
        </w:rPr>
      </w:pPr>
    </w:p>
    <w:p w:rsidR="002C6526" w:rsidRDefault="002C6526" w:rsidP="00E6473E">
      <w:pPr>
        <w:jc w:val="both"/>
        <w:rPr>
          <w:spacing w:val="0"/>
        </w:rPr>
      </w:pPr>
    </w:p>
    <w:p w:rsidR="002C6526" w:rsidRDefault="002C6526" w:rsidP="00E6473E">
      <w:pPr>
        <w:jc w:val="both"/>
        <w:rPr>
          <w:spacing w:val="0"/>
        </w:rPr>
      </w:pPr>
    </w:p>
    <w:p w:rsidR="002C6526" w:rsidRDefault="002C6526" w:rsidP="00E6473E">
      <w:pPr>
        <w:jc w:val="both"/>
        <w:rPr>
          <w:spacing w:val="0"/>
        </w:rPr>
      </w:pPr>
    </w:p>
    <w:p w:rsidR="002C6526" w:rsidRDefault="002C6526" w:rsidP="00E6473E">
      <w:pPr>
        <w:jc w:val="both"/>
        <w:rPr>
          <w:spacing w:val="0"/>
        </w:rPr>
      </w:pPr>
    </w:p>
    <w:p w:rsidR="00016456" w:rsidRDefault="00016456" w:rsidP="00E6473E">
      <w:pPr>
        <w:jc w:val="both"/>
        <w:rPr>
          <w:spacing w:val="0"/>
        </w:rPr>
      </w:pPr>
    </w:p>
    <w:p w:rsidR="00016456" w:rsidRDefault="00016456" w:rsidP="00E6473E">
      <w:pPr>
        <w:jc w:val="both"/>
        <w:rPr>
          <w:spacing w:val="0"/>
        </w:rPr>
      </w:pPr>
    </w:p>
    <w:p w:rsidR="00016456" w:rsidRDefault="00016456" w:rsidP="00E6473E">
      <w:pPr>
        <w:jc w:val="both"/>
        <w:rPr>
          <w:spacing w:val="0"/>
        </w:rPr>
      </w:pPr>
    </w:p>
    <w:p w:rsidR="009D6761" w:rsidRPr="00723D87" w:rsidRDefault="009D6761" w:rsidP="009D6761">
      <w:pPr>
        <w:keepNext/>
        <w:jc w:val="both"/>
        <w:outlineLvl w:val="0"/>
        <w:rPr>
          <w:spacing w:val="0"/>
        </w:rPr>
      </w:pPr>
      <w:r w:rsidRPr="00723D87">
        <w:rPr>
          <w:b/>
          <w:i/>
          <w:spacing w:val="0"/>
          <w:sz w:val="24"/>
          <w:szCs w:val="24"/>
        </w:rPr>
        <w:lastRenderedPageBreak/>
        <w:t xml:space="preserve">-- Строка 8 таблицы главы 1 Приложения </w:t>
      </w:r>
      <w:r w:rsidRPr="00723D87">
        <w:rPr>
          <w:b/>
          <w:i/>
          <w:color w:val="70AD47" w:themeColor="accent6"/>
          <w:spacing w:val="0"/>
          <w:sz w:val="24"/>
          <w:szCs w:val="24"/>
        </w:rPr>
        <w:t xml:space="preserve">в новой редакции </w:t>
      </w:r>
      <w:r w:rsidRPr="00723D87">
        <w:rPr>
          <w:b/>
          <w:i/>
          <w:spacing w:val="0"/>
          <w:sz w:val="24"/>
          <w:szCs w:val="24"/>
        </w:rPr>
        <w:t>(Закон № 77-ЗИ-</w:t>
      </w:r>
      <w:r w:rsidRPr="00723D87">
        <w:rPr>
          <w:b/>
          <w:i/>
          <w:spacing w:val="0"/>
          <w:sz w:val="24"/>
          <w:szCs w:val="24"/>
          <w:lang w:val="en-US"/>
        </w:rPr>
        <w:t>VII</w:t>
      </w:r>
      <w:r w:rsidRPr="00723D87">
        <w:rPr>
          <w:b/>
          <w:i/>
          <w:spacing w:val="0"/>
          <w:sz w:val="24"/>
          <w:szCs w:val="24"/>
        </w:rPr>
        <w:t xml:space="preserve"> от 27.05.25г);</w:t>
      </w:r>
    </w:p>
    <w:p w:rsidR="009D6761" w:rsidRDefault="009D6761" w:rsidP="002C6526">
      <w:pPr>
        <w:keepNext/>
        <w:ind w:left="3969"/>
        <w:jc w:val="both"/>
        <w:outlineLvl w:val="0"/>
        <w:rPr>
          <w:spacing w:val="0"/>
          <w:lang w:eastAsia="zh-CN"/>
        </w:rPr>
      </w:pPr>
    </w:p>
    <w:p w:rsidR="002C6526" w:rsidRPr="002C6526" w:rsidRDefault="002C6526" w:rsidP="002C6526">
      <w:pPr>
        <w:keepNext/>
        <w:ind w:left="3969"/>
        <w:jc w:val="both"/>
        <w:outlineLvl w:val="0"/>
        <w:rPr>
          <w:spacing w:val="0"/>
          <w:lang w:eastAsia="zh-CN"/>
        </w:rPr>
      </w:pPr>
      <w:r w:rsidRPr="002C6526">
        <w:rPr>
          <w:spacing w:val="0"/>
          <w:lang w:eastAsia="zh-CN"/>
        </w:rPr>
        <w:t xml:space="preserve">Приложение к Закону </w:t>
      </w:r>
    </w:p>
    <w:p w:rsidR="002C6526" w:rsidRPr="002C6526" w:rsidRDefault="002C6526" w:rsidP="002C6526">
      <w:pPr>
        <w:keepNext/>
        <w:ind w:left="3969"/>
        <w:outlineLvl w:val="0"/>
        <w:rPr>
          <w:spacing w:val="0"/>
        </w:rPr>
      </w:pPr>
      <w:r w:rsidRPr="002C6526">
        <w:rPr>
          <w:spacing w:val="0"/>
          <w:lang w:eastAsia="zh-CN"/>
        </w:rPr>
        <w:t xml:space="preserve">Приднестровской Молдавской Республики </w:t>
      </w:r>
      <w:r w:rsidRPr="002C6526">
        <w:rPr>
          <w:spacing w:val="0"/>
        </w:rPr>
        <w:t xml:space="preserve">«Об утверждении государственной </w:t>
      </w:r>
    </w:p>
    <w:p w:rsidR="002C6526" w:rsidRPr="002C6526" w:rsidRDefault="002C6526" w:rsidP="002C6526">
      <w:pPr>
        <w:keepNext/>
        <w:ind w:left="3969"/>
        <w:outlineLvl w:val="0"/>
        <w:rPr>
          <w:spacing w:val="0"/>
        </w:rPr>
      </w:pPr>
      <w:r w:rsidRPr="002C6526">
        <w:rPr>
          <w:spacing w:val="0"/>
        </w:rPr>
        <w:t xml:space="preserve">целевой программы «Замена светильников </w:t>
      </w:r>
    </w:p>
    <w:p w:rsidR="002C6526" w:rsidRPr="002C6526" w:rsidRDefault="002C6526" w:rsidP="002C6526">
      <w:pPr>
        <w:keepNext/>
        <w:ind w:left="3969"/>
        <w:outlineLvl w:val="0"/>
        <w:rPr>
          <w:spacing w:val="0"/>
        </w:rPr>
      </w:pPr>
      <w:r w:rsidRPr="002C6526">
        <w:rPr>
          <w:spacing w:val="0"/>
        </w:rPr>
        <w:t xml:space="preserve">с ртутьсодержащими лампами </w:t>
      </w:r>
    </w:p>
    <w:p w:rsidR="002C6526" w:rsidRPr="002C6526" w:rsidRDefault="002C6526" w:rsidP="002C6526">
      <w:pPr>
        <w:keepNext/>
        <w:ind w:left="3969"/>
        <w:outlineLvl w:val="0"/>
        <w:rPr>
          <w:spacing w:val="0"/>
        </w:rPr>
      </w:pPr>
      <w:r w:rsidRPr="002C6526">
        <w:rPr>
          <w:spacing w:val="0"/>
        </w:rPr>
        <w:t xml:space="preserve">уличного освещения автомобильных дорог общего пользования Приднестровской Молдавской Республики, находящихся </w:t>
      </w:r>
    </w:p>
    <w:p w:rsidR="00723D87" w:rsidRDefault="002C6526" w:rsidP="00723D87">
      <w:pPr>
        <w:keepNext/>
        <w:ind w:left="3969"/>
        <w:outlineLvl w:val="0"/>
        <w:rPr>
          <w:spacing w:val="0"/>
        </w:rPr>
      </w:pPr>
      <w:r w:rsidRPr="002C6526">
        <w:rPr>
          <w:spacing w:val="0"/>
        </w:rPr>
        <w:t>в государственной и муниципальной собственности, на светодиодные светильники» на 2024</w:t>
      </w:r>
      <w:r w:rsidR="005F2C80">
        <w:rPr>
          <w:spacing w:val="0"/>
        </w:rPr>
        <w:t>–</w:t>
      </w:r>
      <w:r w:rsidRPr="002C6526">
        <w:rPr>
          <w:spacing w:val="0"/>
        </w:rPr>
        <w:t>2028 годы»</w:t>
      </w:r>
    </w:p>
    <w:p w:rsidR="00870060" w:rsidRDefault="00870060" w:rsidP="002C6526">
      <w:pPr>
        <w:jc w:val="center"/>
        <w:rPr>
          <w:spacing w:val="0"/>
        </w:rPr>
      </w:pPr>
    </w:p>
    <w:p w:rsidR="002C6526" w:rsidRPr="002C6526" w:rsidRDefault="002C6526" w:rsidP="002C6526">
      <w:pPr>
        <w:jc w:val="center"/>
        <w:rPr>
          <w:spacing w:val="0"/>
        </w:rPr>
      </w:pPr>
      <w:r w:rsidRPr="002C6526">
        <w:rPr>
          <w:spacing w:val="0"/>
        </w:rPr>
        <w:t xml:space="preserve">Государственная целевая программа </w:t>
      </w:r>
    </w:p>
    <w:p w:rsidR="002C6526" w:rsidRPr="002C6526" w:rsidRDefault="002C6526" w:rsidP="002C6526">
      <w:pPr>
        <w:jc w:val="center"/>
        <w:rPr>
          <w:spacing w:val="0"/>
        </w:rPr>
      </w:pPr>
      <w:r w:rsidRPr="002C6526">
        <w:rPr>
          <w:spacing w:val="0"/>
        </w:rPr>
        <w:t xml:space="preserve">«Замена светильников с ртутьсодержащими лампами уличного освещения </w:t>
      </w:r>
    </w:p>
    <w:p w:rsidR="005F2C80" w:rsidRDefault="002C6526" w:rsidP="002C6526">
      <w:pPr>
        <w:jc w:val="center"/>
        <w:rPr>
          <w:spacing w:val="0"/>
        </w:rPr>
      </w:pPr>
      <w:r w:rsidRPr="002C6526">
        <w:rPr>
          <w:spacing w:val="0"/>
        </w:rPr>
        <w:t>автомобильных дорог общего пользования Приднестровской Молдавской Республики, находящихся в государственной</w:t>
      </w:r>
    </w:p>
    <w:p w:rsidR="002C6526" w:rsidRPr="002C6526" w:rsidRDefault="002C6526" w:rsidP="002C6526">
      <w:pPr>
        <w:jc w:val="center"/>
        <w:rPr>
          <w:spacing w:val="0"/>
        </w:rPr>
      </w:pPr>
      <w:r w:rsidRPr="002C6526">
        <w:rPr>
          <w:spacing w:val="0"/>
        </w:rPr>
        <w:t xml:space="preserve"> и муниципальной собственности, </w:t>
      </w:r>
    </w:p>
    <w:p w:rsidR="002C6526" w:rsidRPr="002C6526" w:rsidRDefault="002C6526" w:rsidP="002C6526">
      <w:pPr>
        <w:jc w:val="center"/>
        <w:rPr>
          <w:spacing w:val="0"/>
        </w:rPr>
      </w:pPr>
      <w:r w:rsidRPr="002C6526">
        <w:rPr>
          <w:spacing w:val="0"/>
        </w:rPr>
        <w:t>на светодиодные светильники» на 2024</w:t>
      </w:r>
      <w:r w:rsidR="005F2C80">
        <w:rPr>
          <w:spacing w:val="0"/>
        </w:rPr>
        <w:t>–</w:t>
      </w:r>
      <w:r w:rsidRPr="002C6526">
        <w:rPr>
          <w:spacing w:val="0"/>
        </w:rPr>
        <w:t>2028 годы</w:t>
      </w:r>
    </w:p>
    <w:p w:rsidR="002C6526" w:rsidRPr="002C6526" w:rsidRDefault="002C6526" w:rsidP="002C6526">
      <w:pPr>
        <w:jc w:val="center"/>
        <w:rPr>
          <w:spacing w:val="0"/>
        </w:rPr>
      </w:pPr>
    </w:p>
    <w:p w:rsidR="002C6526" w:rsidRPr="002C6526" w:rsidRDefault="002C6526" w:rsidP="002C6526">
      <w:pPr>
        <w:jc w:val="center"/>
        <w:rPr>
          <w:spacing w:val="0"/>
        </w:rPr>
      </w:pPr>
      <w:r w:rsidRPr="002C6526">
        <w:rPr>
          <w:spacing w:val="0"/>
        </w:rPr>
        <w:t>1. ПАСПОРТ ПРОГРАММЫ</w:t>
      </w:r>
    </w:p>
    <w:p w:rsidR="002C6526" w:rsidRPr="002C6526" w:rsidRDefault="002C6526" w:rsidP="002C6526">
      <w:pPr>
        <w:ind w:firstLine="709"/>
        <w:jc w:val="center"/>
        <w:rPr>
          <w:spacing w:val="0"/>
        </w:rPr>
      </w:pPr>
    </w:p>
    <w:tbl>
      <w:tblPr>
        <w:tblW w:w="9776" w:type="dxa"/>
        <w:tblLook w:val="04A0" w:firstRow="1" w:lastRow="0" w:firstColumn="1" w:lastColumn="0" w:noHBand="0" w:noVBand="1"/>
      </w:tblPr>
      <w:tblGrid>
        <w:gridCol w:w="704"/>
        <w:gridCol w:w="3260"/>
        <w:gridCol w:w="5812"/>
      </w:tblGrid>
      <w:tr w:rsidR="002C6526" w:rsidRPr="002C6526" w:rsidTr="002C6526">
        <w:trPr>
          <w:trHeight w:val="2731"/>
        </w:trPr>
        <w:tc>
          <w:tcPr>
            <w:tcW w:w="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C6526" w:rsidRPr="002C6526" w:rsidRDefault="002C6526" w:rsidP="002C6526">
            <w:pPr>
              <w:ind w:left="260" w:right="20"/>
              <w:rPr>
                <w:spacing w:val="0"/>
              </w:rPr>
            </w:pPr>
            <w:r w:rsidRPr="002C6526">
              <w:rPr>
                <w:spacing w:val="0"/>
              </w:rPr>
              <w:t>1.</w:t>
            </w:r>
          </w:p>
        </w:tc>
        <w:tc>
          <w:tcPr>
            <w:tcW w:w="3260"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hideMark/>
          </w:tcPr>
          <w:p w:rsidR="002C6526" w:rsidRPr="002C6526" w:rsidRDefault="002C6526" w:rsidP="002C6526">
            <w:pPr>
              <w:ind w:left="-128" w:right="20"/>
              <w:rPr>
                <w:spacing w:val="0"/>
              </w:rPr>
            </w:pPr>
            <w:r w:rsidRPr="002C6526">
              <w:rPr>
                <w:spacing w:val="0"/>
              </w:rPr>
              <w:t>Наименование Программы</w:t>
            </w:r>
          </w:p>
        </w:tc>
        <w:tc>
          <w:tcPr>
            <w:tcW w:w="5812"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hideMark/>
          </w:tcPr>
          <w:p w:rsidR="002C6526" w:rsidRPr="002C6526" w:rsidRDefault="002C6526" w:rsidP="005F2C80">
            <w:pPr>
              <w:jc w:val="both"/>
              <w:rPr>
                <w:spacing w:val="0"/>
              </w:rPr>
            </w:pPr>
            <w:r w:rsidRPr="002C6526">
              <w:rPr>
                <w:spacing w:val="0"/>
              </w:rPr>
              <w:t>Государственная целевая программа «Замена светильников с ртутьсодержащими лампами уличного освещения автомобильных дорог общего пользования Приднестровской Молдавской Республики, находящихся в государственной и муниципальной собственности, на светодиодные светильники» на 2024</w:t>
            </w:r>
            <w:r w:rsidR="005F2C80">
              <w:rPr>
                <w:spacing w:val="0"/>
              </w:rPr>
              <w:t>–</w:t>
            </w:r>
            <w:r w:rsidRPr="002C6526">
              <w:rPr>
                <w:spacing w:val="0"/>
              </w:rPr>
              <w:t>2028 годы (далее – Программа)</w:t>
            </w:r>
          </w:p>
        </w:tc>
      </w:tr>
      <w:tr w:rsidR="002C6526" w:rsidRPr="002C6526" w:rsidTr="0031096B">
        <w:trPr>
          <w:trHeight w:val="207"/>
        </w:trPr>
        <w:tc>
          <w:tcPr>
            <w:tcW w:w="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C6526" w:rsidRPr="002C6526" w:rsidRDefault="002C6526" w:rsidP="002C6526">
            <w:pPr>
              <w:ind w:left="260" w:right="20"/>
              <w:rPr>
                <w:spacing w:val="0"/>
              </w:rPr>
            </w:pPr>
            <w:r w:rsidRPr="002C6526">
              <w:rPr>
                <w:spacing w:val="0"/>
              </w:rPr>
              <w:t>2.</w:t>
            </w:r>
          </w:p>
        </w:tc>
        <w:tc>
          <w:tcPr>
            <w:tcW w:w="3260"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hideMark/>
          </w:tcPr>
          <w:p w:rsidR="002C6526" w:rsidRPr="002C6526" w:rsidRDefault="002C6526" w:rsidP="002C6526">
            <w:pPr>
              <w:ind w:left="-128" w:right="20"/>
              <w:rPr>
                <w:spacing w:val="0"/>
              </w:rPr>
            </w:pPr>
            <w:r w:rsidRPr="002C6526">
              <w:rPr>
                <w:spacing w:val="0"/>
              </w:rPr>
              <w:t>Государственный</w:t>
            </w:r>
          </w:p>
          <w:p w:rsidR="002C6526" w:rsidRPr="002C6526" w:rsidRDefault="002C6526" w:rsidP="002C6526">
            <w:pPr>
              <w:ind w:left="-128" w:right="20"/>
              <w:rPr>
                <w:spacing w:val="0"/>
              </w:rPr>
            </w:pPr>
            <w:r w:rsidRPr="002C6526">
              <w:rPr>
                <w:spacing w:val="0"/>
              </w:rPr>
              <w:t>заказчик Программы</w:t>
            </w:r>
          </w:p>
        </w:tc>
        <w:tc>
          <w:tcPr>
            <w:tcW w:w="5812"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hideMark/>
          </w:tcPr>
          <w:p w:rsidR="002C6526" w:rsidRPr="002C6526" w:rsidRDefault="002C6526" w:rsidP="002C6526">
            <w:pPr>
              <w:spacing w:before="100" w:beforeAutospacing="1"/>
              <w:ind w:left="-95"/>
              <w:jc w:val="both"/>
              <w:rPr>
                <w:spacing w:val="0"/>
              </w:rPr>
            </w:pPr>
            <w:r w:rsidRPr="002C6526">
              <w:rPr>
                <w:spacing w:val="0"/>
              </w:rPr>
              <w:t xml:space="preserve">Правительство Приднестровской Молдавской Республики </w:t>
            </w:r>
          </w:p>
        </w:tc>
      </w:tr>
      <w:tr w:rsidR="002C6526" w:rsidRPr="002C6526" w:rsidTr="0031096B">
        <w:tc>
          <w:tcPr>
            <w:tcW w:w="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C6526" w:rsidRPr="002C6526" w:rsidRDefault="002C6526" w:rsidP="002C6526">
            <w:pPr>
              <w:ind w:left="260" w:right="20"/>
              <w:rPr>
                <w:spacing w:val="0"/>
              </w:rPr>
            </w:pPr>
            <w:r w:rsidRPr="002C6526">
              <w:rPr>
                <w:spacing w:val="0"/>
              </w:rPr>
              <w:t>3.</w:t>
            </w:r>
          </w:p>
        </w:tc>
        <w:tc>
          <w:tcPr>
            <w:tcW w:w="3260"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hideMark/>
          </w:tcPr>
          <w:p w:rsidR="002C6526" w:rsidRPr="002C6526" w:rsidRDefault="002C6526" w:rsidP="002C6526">
            <w:pPr>
              <w:ind w:left="-128" w:right="20"/>
              <w:rPr>
                <w:spacing w:val="0"/>
              </w:rPr>
            </w:pPr>
            <w:r w:rsidRPr="002C6526">
              <w:rPr>
                <w:spacing w:val="0"/>
              </w:rPr>
              <w:t>Разработчик Программы</w:t>
            </w:r>
          </w:p>
        </w:tc>
        <w:tc>
          <w:tcPr>
            <w:tcW w:w="5812"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hideMark/>
          </w:tcPr>
          <w:p w:rsidR="002C6526" w:rsidRPr="002C6526" w:rsidRDefault="002C6526" w:rsidP="002C6526">
            <w:pPr>
              <w:ind w:left="-95"/>
              <w:jc w:val="both"/>
              <w:rPr>
                <w:spacing w:val="0"/>
              </w:rPr>
            </w:pPr>
            <w:r w:rsidRPr="002C6526">
              <w:rPr>
                <w:spacing w:val="0"/>
              </w:rPr>
              <w:t>Министерство экономического развития Приднестровской Молдавской Республики</w:t>
            </w:r>
          </w:p>
        </w:tc>
      </w:tr>
      <w:tr w:rsidR="002C6526" w:rsidRPr="002C6526" w:rsidTr="0031096B">
        <w:tc>
          <w:tcPr>
            <w:tcW w:w="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C6526" w:rsidRPr="002C6526" w:rsidRDefault="002C6526" w:rsidP="002C6526">
            <w:pPr>
              <w:ind w:left="260" w:right="20"/>
              <w:rPr>
                <w:spacing w:val="0"/>
              </w:rPr>
            </w:pPr>
            <w:r w:rsidRPr="002C6526">
              <w:rPr>
                <w:spacing w:val="0"/>
              </w:rPr>
              <w:t>4.</w:t>
            </w:r>
          </w:p>
        </w:tc>
        <w:tc>
          <w:tcPr>
            <w:tcW w:w="3260"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hideMark/>
          </w:tcPr>
          <w:p w:rsidR="002C6526" w:rsidRPr="002C6526" w:rsidRDefault="002C6526" w:rsidP="002C6526">
            <w:pPr>
              <w:ind w:left="-128" w:right="20"/>
              <w:rPr>
                <w:spacing w:val="0"/>
              </w:rPr>
            </w:pPr>
            <w:r w:rsidRPr="002C6526">
              <w:rPr>
                <w:spacing w:val="0"/>
              </w:rPr>
              <w:t>Ответственный исполнитель Программы</w:t>
            </w:r>
          </w:p>
        </w:tc>
        <w:tc>
          <w:tcPr>
            <w:tcW w:w="5812"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hideMark/>
          </w:tcPr>
          <w:p w:rsidR="002C6526" w:rsidRPr="002C6526" w:rsidRDefault="002C6526" w:rsidP="002C6526">
            <w:pPr>
              <w:ind w:left="-95"/>
              <w:jc w:val="both"/>
              <w:rPr>
                <w:strike/>
                <w:spacing w:val="0"/>
              </w:rPr>
            </w:pPr>
            <w:r w:rsidRPr="002C6526">
              <w:rPr>
                <w:spacing w:val="0"/>
              </w:rPr>
              <w:t>Министерство экономического развития Приднестровской Молдавской Республики</w:t>
            </w:r>
          </w:p>
        </w:tc>
      </w:tr>
      <w:tr w:rsidR="002C6526" w:rsidRPr="002C6526" w:rsidTr="002C6526">
        <w:trPr>
          <w:trHeight w:val="895"/>
        </w:trPr>
        <w:tc>
          <w:tcPr>
            <w:tcW w:w="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C6526" w:rsidRPr="002C6526" w:rsidRDefault="002C6526" w:rsidP="002C6526">
            <w:pPr>
              <w:ind w:left="263" w:right="20"/>
              <w:rPr>
                <w:spacing w:val="0"/>
              </w:rPr>
            </w:pPr>
            <w:r w:rsidRPr="002C6526">
              <w:rPr>
                <w:spacing w:val="0"/>
              </w:rPr>
              <w:t>5.</w:t>
            </w:r>
          </w:p>
        </w:tc>
        <w:tc>
          <w:tcPr>
            <w:tcW w:w="3260"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hideMark/>
          </w:tcPr>
          <w:p w:rsidR="002C6526" w:rsidRPr="002C6526" w:rsidRDefault="002C6526" w:rsidP="002C6526">
            <w:pPr>
              <w:ind w:left="-128" w:right="20"/>
              <w:rPr>
                <w:spacing w:val="0"/>
              </w:rPr>
            </w:pPr>
            <w:r w:rsidRPr="002C6526">
              <w:rPr>
                <w:spacing w:val="0"/>
              </w:rPr>
              <w:t>Исполнитель основных мероприятий Программы</w:t>
            </w:r>
          </w:p>
        </w:tc>
        <w:tc>
          <w:tcPr>
            <w:tcW w:w="5812"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hideMark/>
          </w:tcPr>
          <w:p w:rsidR="002C6526" w:rsidRPr="002C6526" w:rsidRDefault="002C6526" w:rsidP="002C6526">
            <w:pPr>
              <w:ind w:left="-95"/>
              <w:jc w:val="both"/>
              <w:rPr>
                <w:spacing w:val="0"/>
              </w:rPr>
            </w:pPr>
            <w:r w:rsidRPr="002C6526">
              <w:rPr>
                <w:spacing w:val="0"/>
              </w:rPr>
              <w:t>Государственное унитарное предприятие «Единые распределительные электрические сети»</w:t>
            </w:r>
          </w:p>
        </w:tc>
      </w:tr>
      <w:tr w:rsidR="002C6526" w:rsidRPr="002C6526" w:rsidTr="0031096B">
        <w:tc>
          <w:tcPr>
            <w:tcW w:w="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C6526" w:rsidRPr="002C6526" w:rsidRDefault="002C6526" w:rsidP="002C6526">
            <w:pPr>
              <w:ind w:left="260" w:right="20"/>
              <w:rPr>
                <w:spacing w:val="0"/>
              </w:rPr>
            </w:pPr>
            <w:r w:rsidRPr="002C6526">
              <w:rPr>
                <w:spacing w:val="0"/>
              </w:rPr>
              <w:lastRenderedPageBreak/>
              <w:t>6.</w:t>
            </w:r>
          </w:p>
        </w:tc>
        <w:tc>
          <w:tcPr>
            <w:tcW w:w="3260"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hideMark/>
          </w:tcPr>
          <w:p w:rsidR="002C6526" w:rsidRPr="002C6526" w:rsidRDefault="002C6526" w:rsidP="002C6526">
            <w:pPr>
              <w:ind w:left="-128" w:right="20"/>
              <w:rPr>
                <w:spacing w:val="0"/>
              </w:rPr>
            </w:pPr>
            <w:r w:rsidRPr="002C6526">
              <w:rPr>
                <w:spacing w:val="0"/>
              </w:rPr>
              <w:t>Сроки реализации Программы</w:t>
            </w:r>
          </w:p>
        </w:tc>
        <w:tc>
          <w:tcPr>
            <w:tcW w:w="5812"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hideMark/>
          </w:tcPr>
          <w:p w:rsidR="002C6526" w:rsidRPr="002C6526" w:rsidRDefault="002C6526" w:rsidP="005F2C80">
            <w:pPr>
              <w:ind w:left="-95"/>
              <w:jc w:val="both"/>
              <w:rPr>
                <w:spacing w:val="0"/>
              </w:rPr>
            </w:pPr>
            <w:r w:rsidRPr="002C6526">
              <w:rPr>
                <w:spacing w:val="0"/>
              </w:rPr>
              <w:t>2024</w:t>
            </w:r>
            <w:r w:rsidRPr="002C6526">
              <w:rPr>
                <w:spacing w:val="0"/>
                <w:lang w:val="en-US"/>
              </w:rPr>
              <w:t>–</w:t>
            </w:r>
            <w:r w:rsidRPr="002C6526">
              <w:rPr>
                <w:spacing w:val="0"/>
              </w:rPr>
              <w:t>2028 годы</w:t>
            </w:r>
          </w:p>
        </w:tc>
      </w:tr>
      <w:tr w:rsidR="002C6526" w:rsidRPr="002C6526" w:rsidTr="0031096B">
        <w:tc>
          <w:tcPr>
            <w:tcW w:w="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C6526" w:rsidRPr="002C6526" w:rsidRDefault="002C6526" w:rsidP="002C6526">
            <w:pPr>
              <w:ind w:left="260" w:right="20"/>
              <w:rPr>
                <w:spacing w:val="0"/>
              </w:rPr>
            </w:pPr>
            <w:r w:rsidRPr="002C6526">
              <w:rPr>
                <w:spacing w:val="0"/>
              </w:rPr>
              <w:t>7.</w:t>
            </w:r>
          </w:p>
        </w:tc>
        <w:tc>
          <w:tcPr>
            <w:tcW w:w="3260"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hideMark/>
          </w:tcPr>
          <w:p w:rsidR="002C6526" w:rsidRPr="002C6526" w:rsidRDefault="002C6526" w:rsidP="002C6526">
            <w:pPr>
              <w:ind w:left="-128" w:right="20"/>
              <w:rPr>
                <w:spacing w:val="0"/>
              </w:rPr>
            </w:pPr>
            <w:r w:rsidRPr="002C6526">
              <w:rPr>
                <w:spacing w:val="0"/>
              </w:rPr>
              <w:t>Основная цель Программы</w:t>
            </w:r>
          </w:p>
        </w:tc>
        <w:tc>
          <w:tcPr>
            <w:tcW w:w="5812"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hideMark/>
          </w:tcPr>
          <w:p w:rsidR="002C6526" w:rsidRPr="002C6526" w:rsidRDefault="00971A52" w:rsidP="000932E7">
            <w:pPr>
              <w:ind w:left="-128" w:right="20"/>
              <w:jc w:val="both"/>
              <w:rPr>
                <w:spacing w:val="0"/>
              </w:rPr>
            </w:pPr>
            <w:r w:rsidRPr="00971A52">
              <w:rPr>
                <w:spacing w:val="0"/>
              </w:rPr>
              <w:t xml:space="preserve">Целью Программы является обеспечение жителей, проживающих в населенных пунктах Приднестровской Молдавской Республики, качественным, современным, безопасным, </w:t>
            </w:r>
            <w:proofErr w:type="spellStart"/>
            <w:r w:rsidRPr="00971A52">
              <w:rPr>
                <w:spacing w:val="0"/>
              </w:rPr>
              <w:t>экологичным</w:t>
            </w:r>
            <w:proofErr w:type="spellEnd"/>
            <w:r w:rsidRPr="00971A52">
              <w:rPr>
                <w:spacing w:val="0"/>
              </w:rPr>
              <w:t xml:space="preserve"> и экономичным уличным освещением</w:t>
            </w:r>
          </w:p>
        </w:tc>
      </w:tr>
      <w:tr w:rsidR="002C6526" w:rsidRPr="002C6526" w:rsidTr="0031096B">
        <w:tc>
          <w:tcPr>
            <w:tcW w:w="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C6526" w:rsidRPr="002C6526" w:rsidRDefault="002C6526" w:rsidP="002C6526">
            <w:pPr>
              <w:ind w:left="260" w:right="20"/>
              <w:rPr>
                <w:spacing w:val="0"/>
              </w:rPr>
            </w:pPr>
            <w:r w:rsidRPr="002C6526">
              <w:rPr>
                <w:spacing w:val="0"/>
              </w:rPr>
              <w:t>8.</w:t>
            </w:r>
          </w:p>
        </w:tc>
        <w:tc>
          <w:tcPr>
            <w:tcW w:w="3260"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hideMark/>
          </w:tcPr>
          <w:p w:rsidR="002C6526" w:rsidRPr="002C6526" w:rsidRDefault="002C6526" w:rsidP="002C6526">
            <w:pPr>
              <w:ind w:left="-128" w:right="20"/>
              <w:rPr>
                <w:spacing w:val="0"/>
              </w:rPr>
            </w:pPr>
            <w:r w:rsidRPr="002C6526">
              <w:rPr>
                <w:spacing w:val="0"/>
              </w:rPr>
              <w:t>Объемы и источники финансирования Программы</w:t>
            </w:r>
          </w:p>
        </w:tc>
        <w:tc>
          <w:tcPr>
            <w:tcW w:w="5812"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hideMark/>
          </w:tcPr>
          <w:p w:rsidR="00723D87" w:rsidRPr="00723D87" w:rsidRDefault="00723D87" w:rsidP="00723D87">
            <w:pPr>
              <w:jc w:val="both"/>
              <w:rPr>
                <w:spacing w:val="0"/>
              </w:rPr>
            </w:pPr>
            <w:r w:rsidRPr="00723D87">
              <w:rPr>
                <w:spacing w:val="0"/>
              </w:rPr>
              <w:t>Источник финансирования программных мероприятий – средства республиканского бюджета в общем объеме 35 108 937 рублей Приднестровской Молдавской Республики, в том числе затраты по годам:</w:t>
            </w:r>
          </w:p>
          <w:p w:rsidR="00723D87" w:rsidRPr="00723D87" w:rsidRDefault="00723D87" w:rsidP="00723D87">
            <w:pPr>
              <w:jc w:val="both"/>
              <w:rPr>
                <w:spacing w:val="0"/>
              </w:rPr>
            </w:pPr>
            <w:r w:rsidRPr="00723D87">
              <w:rPr>
                <w:rFonts w:eastAsia="Calibri"/>
                <w:spacing w:val="0"/>
                <w:lang w:eastAsia="en-US"/>
              </w:rPr>
              <w:t xml:space="preserve">а) 2024 год – 1 395 527 рублей </w:t>
            </w:r>
            <w:r w:rsidRPr="00723D87">
              <w:rPr>
                <w:spacing w:val="0"/>
              </w:rPr>
              <w:t>Приднестровской Молдавской Республики;</w:t>
            </w:r>
          </w:p>
          <w:p w:rsidR="00723D87" w:rsidRPr="00723D87" w:rsidRDefault="00723D87" w:rsidP="00723D87">
            <w:pPr>
              <w:jc w:val="both"/>
              <w:rPr>
                <w:spacing w:val="0"/>
              </w:rPr>
            </w:pPr>
            <w:r w:rsidRPr="00723D87">
              <w:rPr>
                <w:spacing w:val="0"/>
              </w:rPr>
              <w:t>б) 2025 год – 3 247 473 рубля Приднестровской Молдавской Республики;</w:t>
            </w:r>
          </w:p>
          <w:p w:rsidR="00723D87" w:rsidRPr="00723D87" w:rsidRDefault="00723D87" w:rsidP="00723D87">
            <w:pPr>
              <w:jc w:val="both"/>
              <w:rPr>
                <w:spacing w:val="0"/>
              </w:rPr>
            </w:pPr>
            <w:r w:rsidRPr="00723D87">
              <w:rPr>
                <w:spacing w:val="0"/>
              </w:rPr>
              <w:t>в) 2026 год – 9 927 027 рублей Приднестровской Молдавской Республики;</w:t>
            </w:r>
          </w:p>
          <w:p w:rsidR="00723D87" w:rsidRPr="00723D87" w:rsidRDefault="00723D87" w:rsidP="00723D87">
            <w:pPr>
              <w:jc w:val="both"/>
              <w:rPr>
                <w:spacing w:val="0"/>
              </w:rPr>
            </w:pPr>
            <w:r w:rsidRPr="00723D87">
              <w:rPr>
                <w:spacing w:val="0"/>
              </w:rPr>
              <w:t>г) 2027 год – 10 212 059 рублей Приднестровской Молдавской Республики;</w:t>
            </w:r>
          </w:p>
          <w:p w:rsidR="002C6526" w:rsidRPr="002C6526" w:rsidRDefault="00723D87" w:rsidP="00723D87">
            <w:pPr>
              <w:shd w:val="clear" w:color="auto" w:fill="FFFFFF"/>
              <w:ind w:left="-125"/>
              <w:jc w:val="both"/>
              <w:rPr>
                <w:spacing w:val="0"/>
                <w:highlight w:val="yellow"/>
              </w:rPr>
            </w:pPr>
            <w:r w:rsidRPr="00723D87">
              <w:rPr>
                <w:spacing w:val="0"/>
              </w:rPr>
              <w:t>д) 2028 год – 10 326 851 рубль Приднестровской Молдавской Республики</w:t>
            </w:r>
          </w:p>
        </w:tc>
      </w:tr>
      <w:tr w:rsidR="002C6526" w:rsidRPr="002C6526" w:rsidTr="0031096B">
        <w:tc>
          <w:tcPr>
            <w:tcW w:w="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C6526" w:rsidRPr="002C6526" w:rsidRDefault="002C6526" w:rsidP="002C6526">
            <w:pPr>
              <w:ind w:left="260" w:right="20"/>
              <w:rPr>
                <w:spacing w:val="0"/>
                <w:lang w:eastAsia="zh-CN"/>
              </w:rPr>
            </w:pPr>
            <w:r w:rsidRPr="002C6526">
              <w:rPr>
                <w:spacing w:val="0"/>
                <w:lang w:eastAsia="zh-CN"/>
              </w:rPr>
              <w:t>9.</w:t>
            </w:r>
          </w:p>
        </w:tc>
        <w:tc>
          <w:tcPr>
            <w:tcW w:w="3260"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hideMark/>
          </w:tcPr>
          <w:p w:rsidR="002C6526" w:rsidRPr="002C6526" w:rsidRDefault="002C6526" w:rsidP="002C6526">
            <w:pPr>
              <w:ind w:left="-128" w:right="20"/>
              <w:rPr>
                <w:spacing w:val="0"/>
                <w:lang w:eastAsia="zh-CN"/>
              </w:rPr>
            </w:pPr>
            <w:r w:rsidRPr="002C6526">
              <w:rPr>
                <w:spacing w:val="0"/>
                <w:lang w:eastAsia="zh-CN"/>
              </w:rPr>
              <w:t>Основные мероприятия Программы</w:t>
            </w:r>
          </w:p>
        </w:tc>
        <w:tc>
          <w:tcPr>
            <w:tcW w:w="5812"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hideMark/>
          </w:tcPr>
          <w:p w:rsidR="002C6526" w:rsidRPr="002C6526" w:rsidRDefault="002C6526" w:rsidP="002C6526">
            <w:pPr>
              <w:ind w:left="-95"/>
              <w:jc w:val="both"/>
              <w:rPr>
                <w:spacing w:val="0"/>
                <w:lang w:eastAsia="zh-CN"/>
              </w:rPr>
            </w:pPr>
            <w:r w:rsidRPr="002C6526">
              <w:rPr>
                <w:spacing w:val="0"/>
                <w:lang w:eastAsia="zh-CN"/>
              </w:rPr>
              <w:t xml:space="preserve">Основные мероприятия Программы направлены на проведение работ </w:t>
            </w:r>
            <w:r w:rsidRPr="002C6526">
              <w:rPr>
                <w:spacing w:val="0"/>
              </w:rPr>
              <w:t>по замене светильников с ртутьсодержащими лампами уличного освещения автомобильных дорог общего пользования Приднестровской Молдавской Республики, находящихся в государственной и муниципальной собственности,</w:t>
            </w:r>
            <w:r w:rsidRPr="002C6526">
              <w:rPr>
                <w:color w:val="FF0000"/>
                <w:spacing w:val="0"/>
              </w:rPr>
              <w:t xml:space="preserve"> </w:t>
            </w:r>
            <w:r w:rsidRPr="002C6526">
              <w:rPr>
                <w:spacing w:val="0"/>
              </w:rPr>
              <w:t>на светодиодные светильники</w:t>
            </w:r>
          </w:p>
        </w:tc>
      </w:tr>
      <w:tr w:rsidR="002C6526" w:rsidRPr="002C6526" w:rsidTr="0031096B">
        <w:tc>
          <w:tcPr>
            <w:tcW w:w="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C6526" w:rsidRPr="002C6526" w:rsidRDefault="002C6526" w:rsidP="002C6526">
            <w:pPr>
              <w:ind w:left="260" w:right="20"/>
              <w:rPr>
                <w:spacing w:val="0"/>
                <w:lang w:eastAsia="zh-CN"/>
              </w:rPr>
            </w:pPr>
            <w:r w:rsidRPr="002C6526">
              <w:rPr>
                <w:spacing w:val="0"/>
                <w:lang w:eastAsia="zh-CN"/>
              </w:rPr>
              <w:t>10.</w:t>
            </w:r>
          </w:p>
        </w:tc>
        <w:tc>
          <w:tcPr>
            <w:tcW w:w="3260"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hideMark/>
          </w:tcPr>
          <w:p w:rsidR="002C6526" w:rsidRPr="002C6526" w:rsidRDefault="002C6526" w:rsidP="002C6526">
            <w:pPr>
              <w:ind w:left="-128" w:right="20"/>
              <w:rPr>
                <w:spacing w:val="0"/>
                <w:lang w:eastAsia="zh-CN"/>
              </w:rPr>
            </w:pPr>
            <w:r w:rsidRPr="002C6526">
              <w:rPr>
                <w:spacing w:val="0"/>
                <w:lang w:eastAsia="zh-CN"/>
              </w:rPr>
              <w:t>Ожидаемые результаты реализации Программы</w:t>
            </w:r>
          </w:p>
        </w:tc>
        <w:tc>
          <w:tcPr>
            <w:tcW w:w="5812"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hideMark/>
          </w:tcPr>
          <w:p w:rsidR="00971A52" w:rsidRPr="00971A52" w:rsidRDefault="00971A52" w:rsidP="00971A52">
            <w:pPr>
              <w:ind w:left="-95"/>
              <w:contextualSpacing/>
              <w:jc w:val="both"/>
              <w:rPr>
                <w:spacing w:val="0"/>
                <w:lang w:eastAsia="zh-CN"/>
              </w:rPr>
            </w:pPr>
            <w:r w:rsidRPr="00971A52">
              <w:rPr>
                <w:spacing w:val="0"/>
                <w:lang w:eastAsia="zh-CN"/>
              </w:rPr>
              <w:t xml:space="preserve">В рамках реализации мероприятий, предусмотренных Программой, ожидается достижение следующих результатов: </w:t>
            </w:r>
          </w:p>
          <w:p w:rsidR="00971A52" w:rsidRPr="00971A52" w:rsidRDefault="00EB2859" w:rsidP="000932E7">
            <w:pPr>
              <w:tabs>
                <w:tab w:val="left" w:pos="1996"/>
              </w:tabs>
              <w:ind w:left="-95" w:right="175" w:hanging="30"/>
              <w:jc w:val="both"/>
              <w:rPr>
                <w:spacing w:val="0"/>
              </w:rPr>
            </w:pPr>
            <w:r>
              <w:rPr>
                <w:spacing w:val="0"/>
              </w:rPr>
              <w:t>а</w:t>
            </w:r>
            <w:r w:rsidR="00971A52" w:rsidRPr="00971A52">
              <w:rPr>
                <w:spacing w:val="0"/>
              </w:rPr>
              <w:t>) улучшение благоустройства населенных пунктов;</w:t>
            </w:r>
          </w:p>
          <w:p w:rsidR="00971A52" w:rsidRPr="00971A52" w:rsidRDefault="00EB2859" w:rsidP="000932E7">
            <w:pPr>
              <w:tabs>
                <w:tab w:val="left" w:pos="1996"/>
              </w:tabs>
              <w:ind w:left="-95" w:right="175" w:hanging="30"/>
              <w:jc w:val="both"/>
              <w:rPr>
                <w:spacing w:val="0"/>
              </w:rPr>
            </w:pPr>
            <w:r>
              <w:rPr>
                <w:spacing w:val="0"/>
              </w:rPr>
              <w:t>б</w:t>
            </w:r>
            <w:r w:rsidR="00971A52" w:rsidRPr="00971A52">
              <w:rPr>
                <w:spacing w:val="0"/>
              </w:rPr>
              <w:t>) экономия средств, в том числе за счет:</w:t>
            </w:r>
          </w:p>
          <w:p w:rsidR="00971A52" w:rsidRPr="00971A52" w:rsidRDefault="00EB2859" w:rsidP="000932E7">
            <w:pPr>
              <w:tabs>
                <w:tab w:val="left" w:pos="1996"/>
              </w:tabs>
              <w:ind w:left="-95" w:right="175" w:hanging="30"/>
              <w:jc w:val="both"/>
              <w:rPr>
                <w:spacing w:val="0"/>
              </w:rPr>
            </w:pPr>
            <w:r>
              <w:rPr>
                <w:spacing w:val="0"/>
              </w:rPr>
              <w:t>1)</w:t>
            </w:r>
            <w:r w:rsidR="00971A52" w:rsidRPr="00971A52">
              <w:rPr>
                <w:spacing w:val="0"/>
              </w:rPr>
              <w:t xml:space="preserve"> снижения затрат исполнителя основных мероприятий Программы на </w:t>
            </w:r>
            <w:proofErr w:type="spellStart"/>
            <w:r w:rsidR="00971A52" w:rsidRPr="00971A52">
              <w:rPr>
                <w:spacing w:val="0"/>
              </w:rPr>
              <w:t>демеркуризацию</w:t>
            </w:r>
            <w:proofErr w:type="spellEnd"/>
            <w:r w:rsidR="00971A52" w:rsidRPr="00971A52">
              <w:rPr>
                <w:spacing w:val="0"/>
              </w:rPr>
              <w:t xml:space="preserve"> ртутьсодержащих ламп;</w:t>
            </w:r>
          </w:p>
          <w:p w:rsidR="00971A52" w:rsidRPr="00971A52" w:rsidRDefault="00EB2859" w:rsidP="000932E7">
            <w:pPr>
              <w:tabs>
                <w:tab w:val="left" w:pos="1996"/>
              </w:tabs>
              <w:ind w:left="-95" w:right="175" w:hanging="30"/>
              <w:jc w:val="both"/>
              <w:rPr>
                <w:spacing w:val="0"/>
              </w:rPr>
            </w:pPr>
            <w:r>
              <w:rPr>
                <w:spacing w:val="0"/>
              </w:rPr>
              <w:lastRenderedPageBreak/>
              <w:t>2)</w:t>
            </w:r>
            <w:r w:rsidR="00971A52" w:rsidRPr="00971A52">
              <w:rPr>
                <w:spacing w:val="0"/>
              </w:rPr>
              <w:t xml:space="preserve"> снижения эксплуатационных расходов за счет более длительного срока службы светодиодных светильников;</w:t>
            </w:r>
          </w:p>
          <w:p w:rsidR="002C6526" w:rsidRPr="00971A52" w:rsidRDefault="00971A52" w:rsidP="000932E7">
            <w:pPr>
              <w:ind w:left="-95" w:hanging="30"/>
              <w:jc w:val="both"/>
              <w:rPr>
                <w:spacing w:val="0"/>
                <w:lang w:eastAsia="zh-CN"/>
              </w:rPr>
            </w:pPr>
            <w:r w:rsidRPr="00971A52">
              <w:rPr>
                <w:spacing w:val="0"/>
              </w:rPr>
              <w:t xml:space="preserve">в) улучшение экологической обстановки, путем снижения риска загрязнения окружающей среды опасным веществом </w:t>
            </w:r>
            <w:r w:rsidR="00DD63C5">
              <w:rPr>
                <w:spacing w:val="0"/>
              </w:rPr>
              <w:t>–</w:t>
            </w:r>
            <w:r w:rsidRPr="00971A52">
              <w:rPr>
                <w:spacing w:val="0"/>
              </w:rPr>
              <w:t xml:space="preserve"> ртутью;</w:t>
            </w:r>
          </w:p>
          <w:p w:rsidR="00971A52" w:rsidRDefault="00971A52" w:rsidP="000932E7">
            <w:pPr>
              <w:ind w:left="-95"/>
              <w:jc w:val="both"/>
              <w:rPr>
                <w:spacing w:val="0"/>
                <w:lang w:eastAsia="zh-CN"/>
              </w:rPr>
            </w:pPr>
            <w:r w:rsidRPr="00971A52">
              <w:rPr>
                <w:spacing w:val="0"/>
                <w:lang w:eastAsia="zh-CN"/>
              </w:rPr>
              <w:t>г) экономия средств, расходуемых на нужды уличного освещения</w:t>
            </w:r>
            <w:r>
              <w:rPr>
                <w:spacing w:val="0"/>
                <w:lang w:eastAsia="zh-CN"/>
              </w:rPr>
              <w:t xml:space="preserve"> путем</w:t>
            </w:r>
            <w:r w:rsidRPr="00971A52">
              <w:rPr>
                <w:spacing w:val="0"/>
                <w:lang w:eastAsia="zh-CN"/>
              </w:rPr>
              <w:t xml:space="preserve"> снижени</w:t>
            </w:r>
            <w:r w:rsidR="000932E7">
              <w:rPr>
                <w:spacing w:val="0"/>
                <w:lang w:eastAsia="zh-CN"/>
              </w:rPr>
              <w:t>я</w:t>
            </w:r>
            <w:r w:rsidRPr="00971A52">
              <w:rPr>
                <w:spacing w:val="0"/>
                <w:lang w:eastAsia="zh-CN"/>
              </w:rPr>
              <w:t xml:space="preserve"> потребления электрической энергии на освещение автомобильных дорог общего пользования Приднестровской Молдавской Республики</w:t>
            </w:r>
            <w:r>
              <w:rPr>
                <w:spacing w:val="0"/>
                <w:lang w:eastAsia="zh-CN"/>
              </w:rPr>
              <w:t>;</w:t>
            </w:r>
          </w:p>
          <w:p w:rsidR="00971A52" w:rsidRPr="002C6526" w:rsidRDefault="00971A52" w:rsidP="000932E7">
            <w:pPr>
              <w:ind w:left="-95"/>
              <w:jc w:val="both"/>
              <w:rPr>
                <w:spacing w:val="0"/>
                <w:lang w:eastAsia="zh-CN"/>
              </w:rPr>
            </w:pPr>
            <w:r w:rsidRPr="00971A52">
              <w:rPr>
                <w:spacing w:val="0"/>
                <w:lang w:eastAsia="zh-CN"/>
              </w:rPr>
              <w:t>д) повышение надежности и качества предоставляемых услуг по освещению автомобильных дорог общего пользования Приднестровской Молдавской Республики</w:t>
            </w:r>
          </w:p>
        </w:tc>
      </w:tr>
    </w:tbl>
    <w:p w:rsidR="002C6526" w:rsidRPr="002C6526" w:rsidRDefault="002C6526" w:rsidP="002C6526">
      <w:pPr>
        <w:ind w:firstLine="709"/>
        <w:jc w:val="center"/>
        <w:rPr>
          <w:spacing w:val="0"/>
          <w:lang w:eastAsia="zh-CN"/>
        </w:rPr>
      </w:pPr>
    </w:p>
    <w:p w:rsidR="002C6526" w:rsidRPr="002C6526" w:rsidRDefault="002C6526" w:rsidP="002C6526">
      <w:pPr>
        <w:jc w:val="center"/>
        <w:rPr>
          <w:spacing w:val="0"/>
          <w:lang w:eastAsia="zh-CN"/>
        </w:rPr>
      </w:pPr>
      <w:r w:rsidRPr="002C6526">
        <w:rPr>
          <w:spacing w:val="0"/>
          <w:lang w:eastAsia="zh-CN"/>
        </w:rPr>
        <w:t>2. Обоснование Программы</w:t>
      </w:r>
    </w:p>
    <w:p w:rsidR="002C6526" w:rsidRPr="002C6526" w:rsidRDefault="002C6526" w:rsidP="002C6526">
      <w:pPr>
        <w:ind w:firstLine="709"/>
        <w:rPr>
          <w:spacing w:val="0"/>
          <w:lang w:eastAsia="zh-CN"/>
        </w:rPr>
      </w:pPr>
    </w:p>
    <w:p w:rsidR="00971A52" w:rsidRPr="00971A52" w:rsidRDefault="00971A52" w:rsidP="00971A52">
      <w:pPr>
        <w:ind w:firstLine="709"/>
        <w:jc w:val="both"/>
        <w:rPr>
          <w:spacing w:val="0"/>
          <w:lang w:eastAsia="zh-CN"/>
        </w:rPr>
      </w:pPr>
      <w:r w:rsidRPr="00971A52">
        <w:rPr>
          <w:spacing w:val="0"/>
          <w:lang w:eastAsia="zh-CN"/>
        </w:rPr>
        <w:t>1. Настоящая Программа формируется в связи с необходимостью реализации приоритетных направлений государственной политики, направленной на повышение энергетической эффективности экономики государства.</w:t>
      </w:r>
    </w:p>
    <w:p w:rsidR="00971A52" w:rsidRPr="00971A52" w:rsidRDefault="00971A52" w:rsidP="00971A52">
      <w:pPr>
        <w:ind w:firstLine="709"/>
        <w:jc w:val="both"/>
        <w:rPr>
          <w:spacing w:val="0"/>
          <w:lang w:eastAsia="zh-CN"/>
        </w:rPr>
      </w:pPr>
      <w:r w:rsidRPr="00971A52">
        <w:rPr>
          <w:spacing w:val="0"/>
          <w:lang w:eastAsia="zh-CN"/>
        </w:rPr>
        <w:t xml:space="preserve">Уличное освещение играет важную роль в обеспечении безопасности и комфорта на </w:t>
      </w:r>
      <w:r w:rsidR="00F62EEF">
        <w:rPr>
          <w:spacing w:val="0"/>
          <w:lang w:eastAsia="zh-CN"/>
        </w:rPr>
        <w:t>автомобильных дорогах общего пользования</w:t>
      </w:r>
      <w:r w:rsidRPr="00971A52">
        <w:rPr>
          <w:spacing w:val="0"/>
          <w:lang w:eastAsia="zh-CN"/>
        </w:rPr>
        <w:t xml:space="preserve"> республики. Оно предназначено для обеспечения видимости в темное время суток и помогает увидеть препятствия, пешеходов, а также снижает вероятность дорожно-транспортных происшествий.</w:t>
      </w:r>
    </w:p>
    <w:p w:rsidR="00971A52" w:rsidRPr="00971A52" w:rsidRDefault="00971A52" w:rsidP="00971A52">
      <w:pPr>
        <w:ind w:firstLine="709"/>
        <w:jc w:val="both"/>
        <w:rPr>
          <w:spacing w:val="0"/>
          <w:lang w:eastAsia="zh-CN"/>
        </w:rPr>
      </w:pPr>
      <w:r w:rsidRPr="00971A52">
        <w:rPr>
          <w:spacing w:val="0"/>
          <w:lang w:eastAsia="zh-CN"/>
        </w:rPr>
        <w:t>Также уличное освещение способствует созданию привлекательной визуальной среды и повышает безопасность от преступных посягательств.</w:t>
      </w:r>
    </w:p>
    <w:p w:rsidR="00971A52" w:rsidRPr="00971A52" w:rsidRDefault="00971A52" w:rsidP="00971A52">
      <w:pPr>
        <w:ind w:firstLine="709"/>
        <w:jc w:val="both"/>
        <w:rPr>
          <w:spacing w:val="0"/>
          <w:lang w:eastAsia="zh-CN"/>
        </w:rPr>
      </w:pPr>
      <w:r w:rsidRPr="00971A52">
        <w:rPr>
          <w:spacing w:val="0"/>
          <w:lang w:eastAsia="zh-CN"/>
        </w:rPr>
        <w:t xml:space="preserve">Находящиеся в эксплуатации системы уличного освещения значительно изношены и не соответствуют действующим нормативным актам. Они создают освещенность ниже предусматриваемой установленными требованиями, когда уличное освещение отсутствует или находится в нерабочем состоянии. </w:t>
      </w:r>
    </w:p>
    <w:p w:rsidR="00971A52" w:rsidRPr="00971A52" w:rsidRDefault="00971A52" w:rsidP="00971A52">
      <w:pPr>
        <w:ind w:firstLine="709"/>
        <w:jc w:val="both"/>
        <w:rPr>
          <w:spacing w:val="0"/>
          <w:lang w:eastAsia="zh-CN"/>
        </w:rPr>
      </w:pPr>
      <w:r w:rsidRPr="00971A52">
        <w:rPr>
          <w:spacing w:val="0"/>
          <w:lang w:eastAsia="zh-CN"/>
        </w:rPr>
        <w:t>Используемые ртут</w:t>
      </w:r>
      <w:r w:rsidR="00F62EEF">
        <w:rPr>
          <w:spacing w:val="0"/>
          <w:lang w:eastAsia="zh-CN"/>
        </w:rPr>
        <w:t>ьсодержащие</w:t>
      </w:r>
      <w:r w:rsidRPr="00971A52">
        <w:rPr>
          <w:spacing w:val="0"/>
          <w:lang w:eastAsia="zh-CN"/>
        </w:rPr>
        <w:t xml:space="preserve"> лампы оказывают отрицательное воздействие на экологическую ситуацию. Ввиду того, что данный тип ламп содержит значительное количество ртути, в среднем 100-200 мг на одну лампу, в зависимости от ее мощности, они требуют специальной утилизации, предусматривающей сбор ртути.</w:t>
      </w:r>
    </w:p>
    <w:p w:rsidR="00971A52" w:rsidRPr="00971A52" w:rsidRDefault="00971A52" w:rsidP="00971A52">
      <w:pPr>
        <w:ind w:firstLine="709"/>
        <w:jc w:val="both"/>
        <w:rPr>
          <w:spacing w:val="0"/>
          <w:lang w:eastAsia="zh-CN"/>
        </w:rPr>
      </w:pPr>
      <w:r w:rsidRPr="00971A52">
        <w:rPr>
          <w:spacing w:val="0"/>
          <w:lang w:eastAsia="zh-CN"/>
        </w:rPr>
        <w:t>В рамках данной программы определена поэтапная замена светильников с ртутьсодержащими лампами уличного освещения на энергосберегающие светодиодные светильники.</w:t>
      </w:r>
    </w:p>
    <w:p w:rsidR="00971A52" w:rsidRPr="00971A52" w:rsidRDefault="00971A52" w:rsidP="00971A52">
      <w:pPr>
        <w:ind w:firstLine="709"/>
        <w:jc w:val="both"/>
        <w:rPr>
          <w:spacing w:val="0"/>
          <w:lang w:eastAsia="zh-CN"/>
        </w:rPr>
      </w:pPr>
      <w:r w:rsidRPr="00971A52">
        <w:rPr>
          <w:spacing w:val="0"/>
          <w:lang w:eastAsia="zh-CN"/>
        </w:rPr>
        <w:lastRenderedPageBreak/>
        <w:t xml:space="preserve">В ближайшей перспективе – полный отказ от использования данного типа освещения в государственном секторе, что позволит экономить не только энергоресурсы, но и бюджетные средства, которые закладываются на утилизацию </w:t>
      </w:r>
      <w:r w:rsidR="00F62EEF" w:rsidRPr="00971A52">
        <w:rPr>
          <w:spacing w:val="0"/>
          <w:lang w:eastAsia="zh-CN"/>
        </w:rPr>
        <w:t>ртут</w:t>
      </w:r>
      <w:r w:rsidR="00F62EEF">
        <w:rPr>
          <w:spacing w:val="0"/>
          <w:lang w:eastAsia="zh-CN"/>
        </w:rPr>
        <w:t>ьсодержащих</w:t>
      </w:r>
      <w:r w:rsidRPr="00971A52">
        <w:rPr>
          <w:spacing w:val="0"/>
          <w:lang w:eastAsia="zh-CN"/>
        </w:rPr>
        <w:t xml:space="preserve"> ламп.</w:t>
      </w:r>
    </w:p>
    <w:p w:rsidR="00971A52" w:rsidRPr="00971A52" w:rsidRDefault="00971A52" w:rsidP="00971A52">
      <w:pPr>
        <w:ind w:firstLine="709"/>
        <w:jc w:val="both"/>
        <w:rPr>
          <w:spacing w:val="0"/>
          <w:lang w:eastAsia="zh-CN"/>
        </w:rPr>
      </w:pPr>
      <w:r w:rsidRPr="00971A52">
        <w:rPr>
          <w:spacing w:val="0"/>
          <w:lang w:eastAsia="zh-CN"/>
        </w:rPr>
        <w:t>Таким образом, Программа призвана обеспечить возможность осуществления деятельности, направленной на выполнение поставленных задач:</w:t>
      </w:r>
    </w:p>
    <w:p w:rsidR="00971A52" w:rsidRPr="00971A52" w:rsidRDefault="00971A52" w:rsidP="00971A52">
      <w:pPr>
        <w:ind w:firstLine="709"/>
        <w:jc w:val="both"/>
        <w:rPr>
          <w:spacing w:val="0"/>
          <w:lang w:eastAsia="zh-CN"/>
        </w:rPr>
      </w:pPr>
      <w:r w:rsidRPr="00971A52">
        <w:rPr>
          <w:spacing w:val="0"/>
          <w:lang w:eastAsia="zh-CN"/>
        </w:rPr>
        <w:t xml:space="preserve">а) </w:t>
      </w:r>
      <w:r w:rsidRPr="00971A52">
        <w:rPr>
          <w:bCs/>
          <w:spacing w:val="0"/>
          <w:lang w:eastAsia="zh-CN"/>
        </w:rPr>
        <w:t xml:space="preserve">обеспечение </w:t>
      </w:r>
      <w:r w:rsidRPr="00971A52">
        <w:rPr>
          <w:spacing w:val="0"/>
          <w:lang w:eastAsia="zh-CN"/>
        </w:rPr>
        <w:t>санитарно-эпидемиологического благополучия населения путем снижени</w:t>
      </w:r>
      <w:r w:rsidR="000932E7">
        <w:rPr>
          <w:spacing w:val="0"/>
          <w:lang w:eastAsia="zh-CN"/>
        </w:rPr>
        <w:t>я</w:t>
      </w:r>
      <w:r w:rsidRPr="00971A52">
        <w:rPr>
          <w:spacing w:val="0"/>
          <w:lang w:eastAsia="zh-CN"/>
        </w:rPr>
        <w:t xml:space="preserve"> негативного воздействия, связанного с использованием</w:t>
      </w:r>
      <w:r w:rsidR="000932E7">
        <w:rPr>
          <w:spacing w:val="0"/>
          <w:lang w:eastAsia="zh-CN"/>
        </w:rPr>
        <w:t xml:space="preserve"> </w:t>
      </w:r>
      <w:r w:rsidRPr="00971A52">
        <w:rPr>
          <w:spacing w:val="0"/>
          <w:lang w:eastAsia="zh-CN"/>
        </w:rPr>
        <w:t>ртутьсодержащих источников света, на экологическую обстановку. Так как ртутьсодержащие лампы уличного освещения содержат элементарную ртуть – токсичное вещество, которое представляет опасность для окружающей среды при неправильной утилизации</w:t>
      </w:r>
      <w:r w:rsidR="000932E7">
        <w:rPr>
          <w:spacing w:val="0"/>
          <w:lang w:eastAsia="zh-CN"/>
        </w:rPr>
        <w:t>,</w:t>
      </w:r>
      <w:r w:rsidRPr="00971A52">
        <w:rPr>
          <w:spacing w:val="0"/>
          <w:lang w:eastAsia="zh-CN"/>
        </w:rPr>
        <w:t xml:space="preserve"> </w:t>
      </w:r>
      <w:r w:rsidR="000932E7">
        <w:rPr>
          <w:spacing w:val="0"/>
          <w:lang w:eastAsia="zh-CN"/>
        </w:rPr>
        <w:t>п</w:t>
      </w:r>
      <w:r w:rsidRPr="00971A52">
        <w:rPr>
          <w:spacing w:val="0"/>
          <w:lang w:eastAsia="zh-CN"/>
        </w:rPr>
        <w:t>ереход на светодиодные светильники исключает выбросы ртути в окружающую среду, уменьшая загрязнение почвы и воды;</w:t>
      </w:r>
    </w:p>
    <w:p w:rsidR="00971A52" w:rsidRPr="00971A52" w:rsidRDefault="00971A52" w:rsidP="00971A52">
      <w:pPr>
        <w:ind w:firstLine="709"/>
        <w:jc w:val="both"/>
        <w:rPr>
          <w:spacing w:val="0"/>
          <w:lang w:eastAsia="zh-CN"/>
        </w:rPr>
      </w:pPr>
      <w:r w:rsidRPr="00971A52">
        <w:rPr>
          <w:spacing w:val="0"/>
          <w:lang w:eastAsia="zh-CN"/>
        </w:rPr>
        <w:t>б) повышение энергетической эффективности системы уличного освещения.</w:t>
      </w:r>
    </w:p>
    <w:p w:rsidR="00971A52" w:rsidRPr="00971A52" w:rsidRDefault="00971A52" w:rsidP="00971A52">
      <w:pPr>
        <w:ind w:firstLine="709"/>
        <w:jc w:val="both"/>
        <w:rPr>
          <w:spacing w:val="0"/>
          <w:lang w:eastAsia="zh-CN"/>
        </w:rPr>
      </w:pPr>
      <w:r w:rsidRPr="00971A52">
        <w:rPr>
          <w:spacing w:val="0"/>
          <w:lang w:eastAsia="zh-CN"/>
        </w:rPr>
        <w:t xml:space="preserve">Светодиодные светильники очень </w:t>
      </w:r>
      <w:proofErr w:type="spellStart"/>
      <w:r w:rsidRPr="00971A52">
        <w:rPr>
          <w:spacing w:val="0"/>
          <w:lang w:eastAsia="zh-CN"/>
        </w:rPr>
        <w:t>энергоэффективны</w:t>
      </w:r>
      <w:proofErr w:type="spellEnd"/>
      <w:r w:rsidRPr="00971A52">
        <w:rPr>
          <w:spacing w:val="0"/>
          <w:lang w:eastAsia="zh-CN"/>
        </w:rPr>
        <w:t xml:space="preserve">, они потребляют до 50 (пятидесяти) процентов меньше энергии, чем </w:t>
      </w:r>
      <w:r w:rsidR="00AE302A" w:rsidRPr="00971A52">
        <w:rPr>
          <w:spacing w:val="0"/>
          <w:lang w:eastAsia="zh-CN"/>
        </w:rPr>
        <w:t>ртут</w:t>
      </w:r>
      <w:r w:rsidR="00AE302A">
        <w:rPr>
          <w:spacing w:val="0"/>
          <w:lang w:eastAsia="zh-CN"/>
        </w:rPr>
        <w:t>ьсодержащие</w:t>
      </w:r>
      <w:r w:rsidRPr="00971A52">
        <w:rPr>
          <w:spacing w:val="0"/>
          <w:lang w:eastAsia="zh-CN"/>
        </w:rPr>
        <w:t xml:space="preserve"> лампы. Это приводит к значительному снижению выбросов парниковых газов и уменьшению негативного воздействия на окружающую среду от выработки электроэнергии для уличного освещения, а также к снижению затрат на функционирование сетей уличного освещения;</w:t>
      </w:r>
    </w:p>
    <w:p w:rsidR="00971A52" w:rsidRPr="00971A52" w:rsidRDefault="00971A52" w:rsidP="00971A52">
      <w:pPr>
        <w:ind w:firstLine="709"/>
        <w:jc w:val="both"/>
        <w:rPr>
          <w:spacing w:val="0"/>
          <w:lang w:eastAsia="zh-CN"/>
        </w:rPr>
      </w:pPr>
      <w:r w:rsidRPr="00971A52">
        <w:rPr>
          <w:spacing w:val="0"/>
          <w:lang w:eastAsia="zh-CN"/>
        </w:rPr>
        <w:t xml:space="preserve">в) энергосбережение </w:t>
      </w:r>
      <w:r w:rsidR="000932E7">
        <w:rPr>
          <w:spacing w:val="0"/>
          <w:lang w:eastAsia="zh-CN"/>
        </w:rPr>
        <w:t>–</w:t>
      </w:r>
      <w:r w:rsidRPr="00971A52">
        <w:rPr>
          <w:spacing w:val="0"/>
          <w:lang w:eastAsia="zh-CN"/>
        </w:rPr>
        <w:t xml:space="preserve"> светодиодные светильники позволяют лучше контролировать направление и интенсивность света, уменьшая световое загрязнение. Это приносит пользу как окружающей среде, так и здоровью человека;</w:t>
      </w:r>
    </w:p>
    <w:p w:rsidR="00971A52" w:rsidRPr="00971A52" w:rsidRDefault="00971A52" w:rsidP="00971A52">
      <w:pPr>
        <w:ind w:firstLine="709"/>
        <w:jc w:val="both"/>
        <w:rPr>
          <w:spacing w:val="0"/>
          <w:lang w:eastAsia="zh-CN"/>
        </w:rPr>
      </w:pPr>
      <w:r w:rsidRPr="00971A52">
        <w:rPr>
          <w:spacing w:val="0"/>
          <w:lang w:eastAsia="zh-CN"/>
        </w:rPr>
        <w:t>г) экономия средств, так как светодиодные светильники имеют более длительный срок службы, чем светильники с ртутьсодержащими лампами, что снижает частоту обслуживания и замен, а соответственно</w:t>
      </w:r>
      <w:r w:rsidR="000932E7">
        <w:rPr>
          <w:spacing w:val="0"/>
          <w:lang w:eastAsia="zh-CN"/>
        </w:rPr>
        <w:t>,</w:t>
      </w:r>
      <w:r w:rsidRPr="00971A52">
        <w:rPr>
          <w:spacing w:val="0"/>
          <w:lang w:eastAsia="zh-CN"/>
        </w:rPr>
        <w:t xml:space="preserve"> существенно снижает эксплуатационные расходы.</w:t>
      </w:r>
    </w:p>
    <w:p w:rsidR="002C6526" w:rsidRPr="002C6526" w:rsidRDefault="002C6526" w:rsidP="002C6526">
      <w:pPr>
        <w:ind w:firstLine="709"/>
        <w:jc w:val="both"/>
        <w:rPr>
          <w:spacing w:val="0"/>
          <w:lang w:eastAsia="zh-CN"/>
        </w:rPr>
      </w:pPr>
    </w:p>
    <w:p w:rsidR="002C6526" w:rsidRPr="002C6526" w:rsidRDefault="002C6526" w:rsidP="002C6526">
      <w:pPr>
        <w:jc w:val="center"/>
        <w:rPr>
          <w:spacing w:val="0"/>
          <w:lang w:eastAsia="zh-CN"/>
        </w:rPr>
      </w:pPr>
      <w:r w:rsidRPr="002C6526">
        <w:rPr>
          <w:spacing w:val="0"/>
          <w:lang w:eastAsia="zh-CN"/>
        </w:rPr>
        <w:t>3. Основные цели</w:t>
      </w:r>
      <w:r w:rsidR="000932E7">
        <w:rPr>
          <w:spacing w:val="0"/>
          <w:lang w:eastAsia="zh-CN"/>
        </w:rPr>
        <w:t xml:space="preserve"> и</w:t>
      </w:r>
      <w:r w:rsidRPr="002C6526">
        <w:rPr>
          <w:spacing w:val="0"/>
          <w:lang w:eastAsia="zh-CN"/>
        </w:rPr>
        <w:t xml:space="preserve"> задачи Программы</w:t>
      </w:r>
    </w:p>
    <w:p w:rsidR="002C6526" w:rsidRPr="002C6526" w:rsidRDefault="002C6526" w:rsidP="002C6526">
      <w:pPr>
        <w:ind w:firstLine="709"/>
        <w:rPr>
          <w:spacing w:val="0"/>
          <w:lang w:eastAsia="zh-CN"/>
        </w:rPr>
      </w:pPr>
    </w:p>
    <w:p w:rsidR="001259B3" w:rsidRPr="001259B3" w:rsidRDefault="001259B3" w:rsidP="001259B3">
      <w:pPr>
        <w:tabs>
          <w:tab w:val="left" w:pos="709"/>
        </w:tabs>
        <w:ind w:firstLine="709"/>
        <w:jc w:val="both"/>
        <w:rPr>
          <w:spacing w:val="0"/>
          <w:lang w:eastAsia="zh-CN"/>
        </w:rPr>
      </w:pPr>
      <w:r w:rsidRPr="001259B3">
        <w:rPr>
          <w:spacing w:val="0"/>
          <w:lang w:eastAsia="zh-CN"/>
        </w:rPr>
        <w:t>2. Реализация Программы направлена на развитие инфраструктуры автомобильных дорог общего пользования Приднестровской Молдавской Республики и их составных частей, находящихся в государственной и муниципальной собственности.</w:t>
      </w:r>
    </w:p>
    <w:p w:rsidR="001259B3" w:rsidRPr="001259B3" w:rsidRDefault="001259B3" w:rsidP="001259B3">
      <w:pPr>
        <w:tabs>
          <w:tab w:val="left" w:pos="709"/>
        </w:tabs>
        <w:ind w:firstLine="709"/>
        <w:jc w:val="both"/>
        <w:rPr>
          <w:spacing w:val="0"/>
          <w:lang w:eastAsia="zh-CN"/>
        </w:rPr>
      </w:pPr>
      <w:r w:rsidRPr="001259B3">
        <w:rPr>
          <w:spacing w:val="0"/>
          <w:lang w:eastAsia="zh-CN"/>
        </w:rPr>
        <w:t>Основными целями Программы являются:</w:t>
      </w:r>
    </w:p>
    <w:p w:rsidR="001259B3" w:rsidRPr="001259B3" w:rsidRDefault="001259B3" w:rsidP="001259B3">
      <w:pPr>
        <w:tabs>
          <w:tab w:val="left" w:pos="709"/>
        </w:tabs>
        <w:ind w:firstLine="709"/>
        <w:jc w:val="both"/>
        <w:rPr>
          <w:spacing w:val="0"/>
          <w:lang w:eastAsia="zh-CN"/>
        </w:rPr>
      </w:pPr>
      <w:r w:rsidRPr="001259B3">
        <w:rPr>
          <w:spacing w:val="0"/>
          <w:lang w:eastAsia="zh-CN"/>
        </w:rPr>
        <w:t>а) улучшение благоустройства населенных пунктов республики и жизнедеятельности проживающего в них населения</w:t>
      </w:r>
      <w:r w:rsidR="000932E7">
        <w:rPr>
          <w:spacing w:val="0"/>
          <w:lang w:eastAsia="zh-CN"/>
        </w:rPr>
        <w:t>;</w:t>
      </w:r>
    </w:p>
    <w:p w:rsidR="001259B3" w:rsidRPr="001259B3" w:rsidRDefault="001259B3" w:rsidP="001259B3">
      <w:pPr>
        <w:tabs>
          <w:tab w:val="left" w:pos="709"/>
        </w:tabs>
        <w:ind w:firstLine="709"/>
        <w:jc w:val="both"/>
        <w:rPr>
          <w:spacing w:val="0"/>
          <w:lang w:eastAsia="zh-CN"/>
        </w:rPr>
      </w:pPr>
      <w:r w:rsidRPr="001259B3">
        <w:rPr>
          <w:spacing w:val="0"/>
          <w:lang w:eastAsia="zh-CN"/>
        </w:rPr>
        <w:t>б) создание условий для предупреждения нарушений правопорядка, совершаемых на улицах в темное время суток</w:t>
      </w:r>
      <w:r w:rsidR="000932E7">
        <w:rPr>
          <w:spacing w:val="0"/>
          <w:lang w:eastAsia="zh-CN"/>
        </w:rPr>
        <w:t>;</w:t>
      </w:r>
    </w:p>
    <w:p w:rsidR="001259B3" w:rsidRPr="001259B3" w:rsidRDefault="001259B3" w:rsidP="001259B3">
      <w:pPr>
        <w:tabs>
          <w:tab w:val="left" w:pos="709"/>
        </w:tabs>
        <w:ind w:firstLine="709"/>
        <w:jc w:val="both"/>
        <w:rPr>
          <w:spacing w:val="0"/>
          <w:lang w:eastAsia="zh-CN"/>
        </w:rPr>
      </w:pPr>
      <w:r w:rsidRPr="001259B3">
        <w:rPr>
          <w:spacing w:val="0"/>
          <w:lang w:eastAsia="zh-CN"/>
        </w:rPr>
        <w:t>в) создание предпосылок для повышения безопасности дорожного движения</w:t>
      </w:r>
      <w:r w:rsidR="000932E7">
        <w:rPr>
          <w:spacing w:val="0"/>
          <w:lang w:eastAsia="zh-CN"/>
        </w:rPr>
        <w:t>;</w:t>
      </w:r>
    </w:p>
    <w:p w:rsidR="001259B3" w:rsidRPr="001259B3" w:rsidRDefault="001259B3" w:rsidP="001259B3">
      <w:pPr>
        <w:tabs>
          <w:tab w:val="left" w:pos="709"/>
        </w:tabs>
        <w:ind w:firstLine="709"/>
        <w:jc w:val="both"/>
        <w:rPr>
          <w:spacing w:val="0"/>
          <w:lang w:eastAsia="zh-CN"/>
        </w:rPr>
      </w:pPr>
      <w:r w:rsidRPr="001259B3">
        <w:rPr>
          <w:spacing w:val="0"/>
          <w:lang w:eastAsia="zh-CN"/>
        </w:rPr>
        <w:lastRenderedPageBreak/>
        <w:t>г) снижение негативного воздействия, связанного с использованием ртутьсодержащих источников света, на экологическую обстановку в государстве</w:t>
      </w:r>
      <w:r w:rsidR="000932E7">
        <w:rPr>
          <w:spacing w:val="0"/>
          <w:lang w:eastAsia="zh-CN"/>
        </w:rPr>
        <w:t>;</w:t>
      </w:r>
    </w:p>
    <w:p w:rsidR="001259B3" w:rsidRPr="001259B3" w:rsidRDefault="001259B3" w:rsidP="001259B3">
      <w:pPr>
        <w:tabs>
          <w:tab w:val="left" w:pos="709"/>
        </w:tabs>
        <w:ind w:firstLine="709"/>
        <w:jc w:val="both"/>
        <w:rPr>
          <w:spacing w:val="0"/>
          <w:lang w:eastAsia="zh-CN"/>
        </w:rPr>
      </w:pPr>
      <w:r w:rsidRPr="001259B3">
        <w:rPr>
          <w:spacing w:val="0"/>
          <w:lang w:eastAsia="zh-CN"/>
        </w:rPr>
        <w:t>д) сокращение потребления электрической энергии и экономия бюджетных средств.</w:t>
      </w:r>
    </w:p>
    <w:p w:rsidR="001259B3" w:rsidRPr="001259B3" w:rsidRDefault="001259B3" w:rsidP="001259B3">
      <w:pPr>
        <w:tabs>
          <w:tab w:val="left" w:pos="709"/>
        </w:tabs>
        <w:ind w:firstLine="709"/>
        <w:jc w:val="both"/>
        <w:rPr>
          <w:spacing w:val="0"/>
          <w:lang w:eastAsia="zh-CN"/>
        </w:rPr>
      </w:pPr>
      <w:r w:rsidRPr="001259B3">
        <w:rPr>
          <w:spacing w:val="0"/>
          <w:lang w:eastAsia="zh-CN"/>
        </w:rPr>
        <w:t>3. Достижение указанных целей предусматривается решением следующих основных задач:</w:t>
      </w:r>
    </w:p>
    <w:p w:rsidR="001259B3" w:rsidRPr="001259B3" w:rsidRDefault="001259B3" w:rsidP="001259B3">
      <w:pPr>
        <w:tabs>
          <w:tab w:val="left" w:pos="709"/>
        </w:tabs>
        <w:ind w:firstLine="709"/>
        <w:jc w:val="both"/>
        <w:rPr>
          <w:spacing w:val="0"/>
          <w:lang w:eastAsia="zh-CN"/>
        </w:rPr>
      </w:pPr>
      <w:r w:rsidRPr="001259B3">
        <w:rPr>
          <w:spacing w:val="0"/>
          <w:lang w:eastAsia="zh-CN"/>
        </w:rPr>
        <w:t xml:space="preserve">а) обеспечение освещенности автомобильных дорог общего пользования </w:t>
      </w:r>
      <w:r w:rsidR="000932E7">
        <w:rPr>
          <w:spacing w:val="0"/>
          <w:lang w:eastAsia="zh-CN"/>
        </w:rPr>
        <w:t>Приднестровской Молдавской Республики</w:t>
      </w:r>
      <w:r w:rsidRPr="001259B3">
        <w:rPr>
          <w:spacing w:val="0"/>
          <w:lang w:eastAsia="zh-CN"/>
        </w:rPr>
        <w:t>, находящихся в государственной и муниципальной собственности</w:t>
      </w:r>
      <w:r w:rsidR="000932E7">
        <w:rPr>
          <w:spacing w:val="0"/>
          <w:lang w:eastAsia="zh-CN"/>
        </w:rPr>
        <w:t>,</w:t>
      </w:r>
      <w:r w:rsidRPr="001259B3">
        <w:rPr>
          <w:spacing w:val="0"/>
          <w:lang w:eastAsia="zh-CN"/>
        </w:rPr>
        <w:t xml:space="preserve"> в соответствии с требованиями, установленными строительными нормами и правилами </w:t>
      </w:r>
      <w:r w:rsidR="000932E7">
        <w:rPr>
          <w:bCs/>
          <w:spacing w:val="0"/>
          <w:lang w:eastAsia="zh-CN"/>
        </w:rPr>
        <w:t>Приднестровской Молдавской Республики</w:t>
      </w:r>
      <w:r w:rsidRPr="001259B3">
        <w:rPr>
          <w:spacing w:val="0"/>
          <w:lang w:eastAsia="zh-CN"/>
        </w:rPr>
        <w:t>;</w:t>
      </w:r>
    </w:p>
    <w:p w:rsidR="001259B3" w:rsidRPr="001259B3" w:rsidRDefault="001259B3" w:rsidP="001259B3">
      <w:pPr>
        <w:tabs>
          <w:tab w:val="left" w:pos="709"/>
        </w:tabs>
        <w:ind w:firstLine="709"/>
        <w:jc w:val="both"/>
        <w:rPr>
          <w:spacing w:val="0"/>
          <w:lang w:eastAsia="zh-CN"/>
        </w:rPr>
      </w:pPr>
      <w:r w:rsidRPr="001259B3">
        <w:rPr>
          <w:spacing w:val="0"/>
          <w:lang w:eastAsia="zh-CN"/>
        </w:rPr>
        <w:t>б) обеспечение требуемого нормативными актами уличного освещения проходящих через населенные пункты автомобильных дорог общего пользования, а также опасных участков автомобильных дорог;</w:t>
      </w:r>
    </w:p>
    <w:p w:rsidR="001259B3" w:rsidRPr="001259B3" w:rsidRDefault="001259B3" w:rsidP="001259B3">
      <w:pPr>
        <w:tabs>
          <w:tab w:val="left" w:pos="709"/>
        </w:tabs>
        <w:ind w:firstLine="709"/>
        <w:jc w:val="both"/>
        <w:rPr>
          <w:spacing w:val="0"/>
          <w:lang w:eastAsia="zh-CN"/>
        </w:rPr>
      </w:pPr>
      <w:r w:rsidRPr="001259B3">
        <w:rPr>
          <w:spacing w:val="0"/>
          <w:lang w:eastAsia="zh-CN"/>
        </w:rPr>
        <w:t>в) внедрение современных, экологически безопасных осветительных приборов и источников света, обладающих более высокими технико-экономическими показателями, взамен находящихся в эксплуатации;</w:t>
      </w:r>
    </w:p>
    <w:p w:rsidR="001259B3" w:rsidRPr="001259B3" w:rsidRDefault="001259B3" w:rsidP="001259B3">
      <w:pPr>
        <w:tabs>
          <w:tab w:val="left" w:pos="709"/>
        </w:tabs>
        <w:ind w:firstLine="709"/>
        <w:jc w:val="both"/>
        <w:rPr>
          <w:spacing w:val="0"/>
          <w:lang w:eastAsia="zh-CN"/>
        </w:rPr>
      </w:pPr>
      <w:r w:rsidRPr="001259B3">
        <w:rPr>
          <w:spacing w:val="0"/>
          <w:lang w:eastAsia="zh-CN"/>
        </w:rPr>
        <w:t>г) организация автоматического управления системами уличного освещения;</w:t>
      </w:r>
    </w:p>
    <w:p w:rsidR="001259B3" w:rsidRPr="001259B3" w:rsidRDefault="001259B3" w:rsidP="001259B3">
      <w:pPr>
        <w:tabs>
          <w:tab w:val="left" w:pos="709"/>
        </w:tabs>
        <w:ind w:firstLine="709"/>
        <w:jc w:val="both"/>
        <w:rPr>
          <w:spacing w:val="0"/>
          <w:lang w:eastAsia="zh-CN"/>
        </w:rPr>
      </w:pPr>
      <w:r w:rsidRPr="001259B3">
        <w:rPr>
          <w:spacing w:val="0"/>
          <w:lang w:eastAsia="zh-CN"/>
        </w:rPr>
        <w:t>д) обеспечение систем уличного освещения средствами учета.</w:t>
      </w:r>
    </w:p>
    <w:p w:rsidR="002C6526" w:rsidRDefault="002C6526" w:rsidP="002C6526">
      <w:pPr>
        <w:tabs>
          <w:tab w:val="left" w:pos="709"/>
        </w:tabs>
        <w:ind w:firstLine="709"/>
        <w:jc w:val="both"/>
        <w:rPr>
          <w:spacing w:val="0"/>
        </w:rPr>
      </w:pPr>
    </w:p>
    <w:p w:rsidR="00326841" w:rsidRPr="005F2C80" w:rsidRDefault="00326841" w:rsidP="00326841">
      <w:pPr>
        <w:tabs>
          <w:tab w:val="left" w:pos="709"/>
        </w:tabs>
        <w:ind w:firstLine="709"/>
        <w:jc w:val="center"/>
        <w:rPr>
          <w:spacing w:val="0"/>
        </w:rPr>
      </w:pPr>
      <w:r w:rsidRPr="005F2C80">
        <w:rPr>
          <w:spacing w:val="0"/>
        </w:rPr>
        <w:t>4. Оценка социально-экономической эффективности и последствий реализации Программы</w:t>
      </w:r>
    </w:p>
    <w:p w:rsidR="00326841" w:rsidRPr="005F2C80" w:rsidRDefault="00326841" w:rsidP="00326841">
      <w:pPr>
        <w:tabs>
          <w:tab w:val="left" w:pos="709"/>
        </w:tabs>
        <w:ind w:firstLine="709"/>
        <w:jc w:val="both"/>
        <w:rPr>
          <w:spacing w:val="0"/>
        </w:rPr>
      </w:pPr>
    </w:p>
    <w:p w:rsidR="00326841" w:rsidRPr="005F2C80" w:rsidRDefault="00326841" w:rsidP="00326841">
      <w:pPr>
        <w:tabs>
          <w:tab w:val="left" w:pos="709"/>
        </w:tabs>
        <w:ind w:firstLine="709"/>
        <w:jc w:val="both"/>
        <w:rPr>
          <w:spacing w:val="0"/>
        </w:rPr>
      </w:pPr>
      <w:r w:rsidRPr="005F2C80">
        <w:rPr>
          <w:spacing w:val="0"/>
        </w:rPr>
        <w:t>4. Замена светильников с ртутьсодержащими лампами на светодиодные светильники является важной экологической и экономической инициативой, имеющей ряд потенциальных социально-экономических последствий, а именно:</w:t>
      </w:r>
    </w:p>
    <w:p w:rsidR="00326841" w:rsidRPr="005F2C80" w:rsidRDefault="00326841" w:rsidP="00326841">
      <w:pPr>
        <w:tabs>
          <w:tab w:val="left" w:pos="709"/>
        </w:tabs>
        <w:ind w:firstLine="709"/>
        <w:jc w:val="both"/>
        <w:rPr>
          <w:spacing w:val="0"/>
        </w:rPr>
      </w:pPr>
      <w:r w:rsidRPr="005F2C80">
        <w:rPr>
          <w:spacing w:val="0"/>
        </w:rPr>
        <w:t xml:space="preserve">а) </w:t>
      </w:r>
      <w:proofErr w:type="spellStart"/>
      <w:r w:rsidRPr="005F2C80">
        <w:rPr>
          <w:spacing w:val="0"/>
        </w:rPr>
        <w:t>энергоэффективность</w:t>
      </w:r>
      <w:proofErr w:type="spellEnd"/>
      <w:r w:rsidRPr="005F2C80">
        <w:rPr>
          <w:spacing w:val="0"/>
        </w:rPr>
        <w:t xml:space="preserve"> и экономия средств: светодиодные светильники значительно более </w:t>
      </w:r>
      <w:proofErr w:type="spellStart"/>
      <w:r w:rsidRPr="005F2C80">
        <w:rPr>
          <w:spacing w:val="0"/>
        </w:rPr>
        <w:t>энергоэффективны</w:t>
      </w:r>
      <w:proofErr w:type="spellEnd"/>
      <w:r w:rsidRPr="005F2C80">
        <w:rPr>
          <w:spacing w:val="0"/>
        </w:rPr>
        <w:t>, чем ртутьсодержащие лампы. Их замена приведет к снижению энергопотребления;</w:t>
      </w:r>
    </w:p>
    <w:p w:rsidR="00326841" w:rsidRPr="005F2C80" w:rsidRDefault="00326841" w:rsidP="00326841">
      <w:pPr>
        <w:tabs>
          <w:tab w:val="left" w:pos="709"/>
        </w:tabs>
        <w:ind w:firstLine="709"/>
        <w:jc w:val="both"/>
        <w:rPr>
          <w:spacing w:val="0"/>
        </w:rPr>
      </w:pPr>
      <w:r w:rsidRPr="005F2C80">
        <w:rPr>
          <w:spacing w:val="0"/>
        </w:rPr>
        <w:t>б) экологические преимущества: ртутьсодержащие лампы представляют опасность для окружающей среды из-за выделения ртути при их поломке или неправильной утилизации. Замена их светодиодными светильниками сокращает выброс опасных материалов в окружающую среду;</w:t>
      </w:r>
    </w:p>
    <w:p w:rsidR="00326841" w:rsidRPr="005F2C80" w:rsidRDefault="00326841" w:rsidP="00326841">
      <w:pPr>
        <w:tabs>
          <w:tab w:val="left" w:pos="709"/>
        </w:tabs>
        <w:ind w:firstLine="709"/>
        <w:jc w:val="both"/>
        <w:rPr>
          <w:spacing w:val="0"/>
        </w:rPr>
      </w:pPr>
      <w:r w:rsidRPr="005F2C80">
        <w:rPr>
          <w:spacing w:val="0"/>
        </w:rPr>
        <w:t>в) улучшенное качество освещения: светодиодные светильники обеспечивают лучшее качество освещения, что повысит безопасность и благополучие на автомобильных дорогах общего пользования Приднестровской Молдавской Республики;</w:t>
      </w:r>
    </w:p>
    <w:p w:rsidR="00326841" w:rsidRPr="005F2C80" w:rsidRDefault="00326841" w:rsidP="00326841">
      <w:pPr>
        <w:tabs>
          <w:tab w:val="left" w:pos="709"/>
        </w:tabs>
        <w:ind w:firstLine="709"/>
        <w:jc w:val="both"/>
        <w:rPr>
          <w:spacing w:val="0"/>
        </w:rPr>
      </w:pPr>
      <w:r w:rsidRPr="005F2C80">
        <w:rPr>
          <w:spacing w:val="0"/>
        </w:rPr>
        <w:t>г) более длительный срок службы и снижение затрат на техническое обслуживание: светодиодные светильники обычно имеют более длительный срок службы, чем светильники с ртутьсодержащими лампами, что снижает необходимость в частой замене и техническом обслуживании;</w:t>
      </w:r>
    </w:p>
    <w:p w:rsidR="00326841" w:rsidRPr="005F2C80" w:rsidRDefault="00326841" w:rsidP="00326841">
      <w:pPr>
        <w:tabs>
          <w:tab w:val="left" w:pos="709"/>
        </w:tabs>
        <w:ind w:firstLine="709"/>
        <w:jc w:val="both"/>
        <w:rPr>
          <w:spacing w:val="0"/>
        </w:rPr>
      </w:pPr>
      <w:r w:rsidRPr="005F2C80">
        <w:rPr>
          <w:spacing w:val="0"/>
        </w:rPr>
        <w:lastRenderedPageBreak/>
        <w:t>д) сокращение выбросов парниковых газов: сокращая потребление энергии, Программа способствует снижению выбросов парниковых газов в соответствии с экологическими и климатическими целями.</w:t>
      </w:r>
    </w:p>
    <w:p w:rsidR="00C8697D" w:rsidRPr="005F2C80" w:rsidRDefault="00C8697D" w:rsidP="002C6526">
      <w:pPr>
        <w:tabs>
          <w:tab w:val="left" w:pos="709"/>
        </w:tabs>
        <w:ind w:firstLine="709"/>
        <w:jc w:val="both"/>
        <w:rPr>
          <w:spacing w:val="0"/>
        </w:rPr>
      </w:pPr>
    </w:p>
    <w:p w:rsidR="00C8697D" w:rsidRDefault="00C8697D" w:rsidP="002C6526">
      <w:pPr>
        <w:tabs>
          <w:tab w:val="left" w:pos="709"/>
        </w:tabs>
        <w:ind w:firstLine="709"/>
        <w:jc w:val="both"/>
        <w:rPr>
          <w:spacing w:val="0"/>
        </w:rPr>
        <w:sectPr w:rsidR="00C8697D" w:rsidSect="00233FAF">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1701" w:header="709" w:footer="709" w:gutter="0"/>
          <w:cols w:space="708"/>
          <w:titlePg/>
          <w:docGrid w:linePitch="381"/>
        </w:sectPr>
      </w:pPr>
    </w:p>
    <w:p w:rsidR="00F14AAF" w:rsidRPr="0031097E" w:rsidRDefault="00F14AAF" w:rsidP="00F14AAF">
      <w:pPr>
        <w:tabs>
          <w:tab w:val="left" w:pos="709"/>
        </w:tabs>
        <w:rPr>
          <w:b/>
          <w:bCs/>
          <w:i/>
          <w:spacing w:val="0"/>
          <w:sz w:val="24"/>
          <w:szCs w:val="24"/>
        </w:rPr>
      </w:pPr>
      <w:r w:rsidRPr="0031097E">
        <w:rPr>
          <w:b/>
          <w:bCs/>
          <w:i/>
          <w:spacing w:val="0"/>
          <w:sz w:val="24"/>
          <w:szCs w:val="24"/>
        </w:rPr>
        <w:lastRenderedPageBreak/>
        <w:t xml:space="preserve">-- Таблица главы 5 Приложения </w:t>
      </w:r>
      <w:r w:rsidRPr="0031097E">
        <w:rPr>
          <w:b/>
          <w:bCs/>
          <w:i/>
          <w:color w:val="70AD47" w:themeColor="accent6"/>
          <w:spacing w:val="0"/>
          <w:sz w:val="24"/>
          <w:szCs w:val="24"/>
        </w:rPr>
        <w:t xml:space="preserve">в новой редакции </w:t>
      </w:r>
      <w:r w:rsidRPr="0031097E">
        <w:rPr>
          <w:b/>
          <w:bCs/>
          <w:i/>
          <w:spacing w:val="0"/>
          <w:sz w:val="24"/>
          <w:szCs w:val="24"/>
        </w:rPr>
        <w:t>(Закон № 77-ЗИ-</w:t>
      </w:r>
      <w:r w:rsidRPr="0031097E">
        <w:rPr>
          <w:b/>
          <w:bCs/>
          <w:i/>
          <w:spacing w:val="0"/>
          <w:sz w:val="24"/>
          <w:szCs w:val="24"/>
          <w:lang w:val="en-US"/>
        </w:rPr>
        <w:t>VII</w:t>
      </w:r>
      <w:r w:rsidRPr="0031097E">
        <w:rPr>
          <w:b/>
          <w:bCs/>
          <w:i/>
          <w:spacing w:val="0"/>
          <w:sz w:val="24"/>
          <w:szCs w:val="24"/>
        </w:rPr>
        <w:t xml:space="preserve"> от 27.05.25г);</w:t>
      </w:r>
    </w:p>
    <w:p w:rsidR="00F14AAF" w:rsidRDefault="00F14AAF" w:rsidP="0031097E">
      <w:pPr>
        <w:tabs>
          <w:tab w:val="left" w:pos="709"/>
        </w:tabs>
        <w:ind w:firstLine="709"/>
        <w:jc w:val="center"/>
        <w:rPr>
          <w:bCs/>
          <w:spacing w:val="0"/>
        </w:rPr>
      </w:pPr>
    </w:p>
    <w:p w:rsidR="0031097E" w:rsidRDefault="00C8697D" w:rsidP="0031097E">
      <w:pPr>
        <w:tabs>
          <w:tab w:val="left" w:pos="709"/>
        </w:tabs>
        <w:ind w:firstLine="709"/>
        <w:jc w:val="center"/>
        <w:rPr>
          <w:bCs/>
          <w:spacing w:val="0"/>
        </w:rPr>
      </w:pPr>
      <w:r w:rsidRPr="00C8697D">
        <w:rPr>
          <w:bCs/>
          <w:spacing w:val="0"/>
        </w:rPr>
        <w:t>5. Мероприятия, сроки исполнения и объемы финансирования Программы</w:t>
      </w:r>
      <w:r w:rsidR="0031097E">
        <w:rPr>
          <w:bCs/>
          <w:spacing w:val="0"/>
        </w:rPr>
        <w:t xml:space="preserve"> </w:t>
      </w:r>
    </w:p>
    <w:p w:rsidR="0031097E" w:rsidRPr="0031097E" w:rsidRDefault="0031097E" w:rsidP="0031097E">
      <w:pPr>
        <w:ind w:hanging="567"/>
        <w:jc w:val="both"/>
        <w:rPr>
          <w:b/>
          <w:i/>
          <w:spacing w:val="0"/>
          <w:sz w:val="24"/>
          <w:szCs w:val="24"/>
        </w:rPr>
      </w:pPr>
    </w:p>
    <w:tbl>
      <w:tblPr>
        <w:tblW w:w="16157" w:type="dxa"/>
        <w:jc w:val="center"/>
        <w:tblLayout w:type="fixed"/>
        <w:tblLook w:val="04A0" w:firstRow="1" w:lastRow="0" w:firstColumn="1" w:lastColumn="0" w:noHBand="0" w:noVBand="1"/>
      </w:tblPr>
      <w:tblGrid>
        <w:gridCol w:w="602"/>
        <w:gridCol w:w="1449"/>
        <w:gridCol w:w="536"/>
        <w:gridCol w:w="669"/>
        <w:gridCol w:w="994"/>
        <w:gridCol w:w="567"/>
        <w:gridCol w:w="709"/>
        <w:gridCol w:w="992"/>
        <w:gridCol w:w="709"/>
        <w:gridCol w:w="708"/>
        <w:gridCol w:w="993"/>
        <w:gridCol w:w="709"/>
        <w:gridCol w:w="567"/>
        <w:gridCol w:w="992"/>
        <w:gridCol w:w="709"/>
        <w:gridCol w:w="709"/>
        <w:gridCol w:w="992"/>
        <w:gridCol w:w="709"/>
        <w:gridCol w:w="708"/>
        <w:gridCol w:w="1134"/>
      </w:tblGrid>
      <w:tr w:rsidR="0031097E" w:rsidRPr="0031097E" w:rsidTr="00D04E56">
        <w:trPr>
          <w:trHeight w:val="249"/>
          <w:jc w:val="center"/>
        </w:trPr>
        <w:tc>
          <w:tcPr>
            <w:tcW w:w="602" w:type="dxa"/>
            <w:vMerge w:val="restart"/>
            <w:tcBorders>
              <w:top w:val="single" w:sz="4" w:space="0" w:color="auto"/>
              <w:left w:val="single" w:sz="4" w:space="0" w:color="auto"/>
              <w:bottom w:val="single" w:sz="4" w:space="0" w:color="auto"/>
              <w:right w:val="single" w:sz="4" w:space="0" w:color="auto"/>
            </w:tcBorders>
            <w:vAlign w:val="center"/>
            <w:hideMark/>
          </w:tcPr>
          <w:p w:rsidR="0031097E" w:rsidRPr="0031097E" w:rsidRDefault="0031097E" w:rsidP="0031097E">
            <w:pPr>
              <w:spacing w:after="160" w:line="256" w:lineRule="auto"/>
              <w:ind w:left="-99" w:right="-121"/>
              <w:jc w:val="center"/>
              <w:rPr>
                <w:color w:val="000000"/>
                <w:spacing w:val="0"/>
                <w:sz w:val="16"/>
                <w:szCs w:val="16"/>
              </w:rPr>
            </w:pPr>
            <w:r w:rsidRPr="0031097E">
              <w:rPr>
                <w:color w:val="000000"/>
                <w:spacing w:val="0"/>
                <w:sz w:val="16"/>
                <w:szCs w:val="16"/>
              </w:rPr>
              <w:t>№ п/п</w:t>
            </w:r>
          </w:p>
        </w:tc>
        <w:tc>
          <w:tcPr>
            <w:tcW w:w="1449" w:type="dxa"/>
            <w:vMerge w:val="restart"/>
            <w:tcBorders>
              <w:top w:val="single" w:sz="4" w:space="0" w:color="auto"/>
              <w:left w:val="single" w:sz="4" w:space="0" w:color="auto"/>
              <w:bottom w:val="single" w:sz="4" w:space="0" w:color="auto"/>
              <w:right w:val="single" w:sz="4" w:space="0" w:color="auto"/>
            </w:tcBorders>
            <w:vAlign w:val="center"/>
            <w:hideMark/>
          </w:tcPr>
          <w:p w:rsidR="0031097E" w:rsidRPr="0031097E" w:rsidRDefault="0031097E" w:rsidP="0031097E">
            <w:pPr>
              <w:rPr>
                <w:rFonts w:eastAsiaTheme="minorHAnsi"/>
                <w:spacing w:val="0"/>
                <w:sz w:val="16"/>
                <w:szCs w:val="16"/>
              </w:rPr>
            </w:pPr>
            <w:r w:rsidRPr="0031097E">
              <w:rPr>
                <w:rFonts w:eastAsiaTheme="minorHAnsi"/>
                <w:spacing w:val="0"/>
                <w:sz w:val="16"/>
                <w:szCs w:val="16"/>
              </w:rPr>
              <w:t>Государственная</w:t>
            </w:r>
          </w:p>
          <w:p w:rsidR="0031097E" w:rsidRPr="0031097E" w:rsidRDefault="0031097E" w:rsidP="0031097E">
            <w:pPr>
              <w:rPr>
                <w:rFonts w:asciiTheme="minorHAnsi" w:eastAsiaTheme="minorHAnsi" w:hAnsiTheme="minorHAnsi" w:cstheme="minorBidi"/>
                <w:spacing w:val="0"/>
                <w:sz w:val="16"/>
                <w:szCs w:val="16"/>
              </w:rPr>
            </w:pPr>
            <w:r w:rsidRPr="0031097E">
              <w:rPr>
                <w:rFonts w:eastAsiaTheme="minorHAnsi"/>
                <w:spacing w:val="0"/>
                <w:sz w:val="16"/>
                <w:szCs w:val="16"/>
              </w:rPr>
              <w:t>администрация</w:t>
            </w:r>
          </w:p>
        </w:tc>
        <w:tc>
          <w:tcPr>
            <w:tcW w:w="2199" w:type="dxa"/>
            <w:gridSpan w:val="3"/>
            <w:tcBorders>
              <w:top w:val="single" w:sz="4" w:space="0" w:color="auto"/>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b/>
                <w:bCs/>
                <w:color w:val="000000"/>
                <w:spacing w:val="0"/>
                <w:sz w:val="16"/>
                <w:szCs w:val="16"/>
              </w:rPr>
            </w:pPr>
            <w:r w:rsidRPr="0031097E">
              <w:rPr>
                <w:b/>
                <w:bCs/>
                <w:color w:val="000000"/>
                <w:spacing w:val="0"/>
                <w:sz w:val="16"/>
                <w:szCs w:val="16"/>
              </w:rPr>
              <w:t>2024</w:t>
            </w:r>
          </w:p>
        </w:tc>
        <w:tc>
          <w:tcPr>
            <w:tcW w:w="2268" w:type="dxa"/>
            <w:gridSpan w:val="3"/>
            <w:tcBorders>
              <w:top w:val="single" w:sz="4" w:space="0" w:color="auto"/>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b/>
                <w:bCs/>
                <w:color w:val="000000"/>
                <w:spacing w:val="0"/>
                <w:sz w:val="16"/>
                <w:szCs w:val="16"/>
              </w:rPr>
            </w:pPr>
            <w:r w:rsidRPr="0031097E">
              <w:rPr>
                <w:b/>
                <w:bCs/>
                <w:color w:val="000000"/>
                <w:spacing w:val="0"/>
                <w:sz w:val="16"/>
                <w:szCs w:val="16"/>
              </w:rPr>
              <w:t>2025</w:t>
            </w:r>
          </w:p>
        </w:tc>
        <w:tc>
          <w:tcPr>
            <w:tcW w:w="2410" w:type="dxa"/>
            <w:gridSpan w:val="3"/>
            <w:tcBorders>
              <w:top w:val="single" w:sz="4" w:space="0" w:color="auto"/>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b/>
                <w:bCs/>
                <w:color w:val="000000"/>
                <w:spacing w:val="0"/>
                <w:sz w:val="16"/>
                <w:szCs w:val="16"/>
              </w:rPr>
            </w:pPr>
            <w:r w:rsidRPr="0031097E">
              <w:rPr>
                <w:b/>
                <w:bCs/>
                <w:color w:val="000000"/>
                <w:spacing w:val="0"/>
                <w:sz w:val="16"/>
                <w:szCs w:val="16"/>
              </w:rPr>
              <w:t>2026</w:t>
            </w:r>
          </w:p>
        </w:tc>
        <w:tc>
          <w:tcPr>
            <w:tcW w:w="2268" w:type="dxa"/>
            <w:gridSpan w:val="3"/>
            <w:tcBorders>
              <w:top w:val="single" w:sz="4" w:space="0" w:color="auto"/>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b/>
                <w:bCs/>
                <w:color w:val="000000"/>
                <w:spacing w:val="0"/>
                <w:sz w:val="16"/>
                <w:szCs w:val="16"/>
              </w:rPr>
            </w:pPr>
            <w:r w:rsidRPr="0031097E">
              <w:rPr>
                <w:b/>
                <w:bCs/>
                <w:color w:val="000000"/>
                <w:spacing w:val="0"/>
                <w:sz w:val="16"/>
                <w:szCs w:val="16"/>
              </w:rPr>
              <w:t>2027</w:t>
            </w:r>
          </w:p>
        </w:tc>
        <w:tc>
          <w:tcPr>
            <w:tcW w:w="2410" w:type="dxa"/>
            <w:gridSpan w:val="3"/>
            <w:tcBorders>
              <w:top w:val="single" w:sz="4" w:space="0" w:color="auto"/>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b/>
                <w:bCs/>
                <w:color w:val="000000"/>
                <w:spacing w:val="0"/>
                <w:sz w:val="16"/>
                <w:szCs w:val="16"/>
              </w:rPr>
            </w:pPr>
            <w:r w:rsidRPr="0031097E">
              <w:rPr>
                <w:b/>
                <w:bCs/>
                <w:color w:val="000000"/>
                <w:spacing w:val="0"/>
                <w:sz w:val="16"/>
                <w:szCs w:val="16"/>
              </w:rPr>
              <w:t>2028</w:t>
            </w:r>
          </w:p>
        </w:tc>
        <w:tc>
          <w:tcPr>
            <w:tcW w:w="2551" w:type="dxa"/>
            <w:gridSpan w:val="3"/>
            <w:tcBorders>
              <w:top w:val="single" w:sz="4" w:space="0" w:color="auto"/>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b/>
                <w:bCs/>
                <w:color w:val="000000"/>
                <w:spacing w:val="0"/>
                <w:sz w:val="16"/>
                <w:szCs w:val="16"/>
              </w:rPr>
            </w:pPr>
            <w:r w:rsidRPr="0031097E">
              <w:rPr>
                <w:b/>
                <w:bCs/>
                <w:color w:val="000000"/>
                <w:spacing w:val="0"/>
                <w:sz w:val="16"/>
                <w:szCs w:val="16"/>
              </w:rPr>
              <w:t>Итого</w:t>
            </w:r>
          </w:p>
        </w:tc>
      </w:tr>
      <w:tr w:rsidR="0031097E" w:rsidRPr="0031097E" w:rsidTr="00D04E56">
        <w:trPr>
          <w:trHeight w:val="557"/>
          <w:jc w:val="center"/>
        </w:trPr>
        <w:tc>
          <w:tcPr>
            <w:tcW w:w="602" w:type="dxa"/>
            <w:vMerge/>
            <w:tcBorders>
              <w:top w:val="single" w:sz="4" w:space="0" w:color="auto"/>
              <w:left w:val="single" w:sz="4" w:space="0" w:color="auto"/>
              <w:bottom w:val="single" w:sz="4" w:space="0" w:color="auto"/>
              <w:right w:val="single" w:sz="4" w:space="0" w:color="auto"/>
            </w:tcBorders>
            <w:vAlign w:val="center"/>
            <w:hideMark/>
          </w:tcPr>
          <w:p w:rsidR="0031097E" w:rsidRPr="0031097E" w:rsidRDefault="0031097E" w:rsidP="0031097E">
            <w:pPr>
              <w:spacing w:after="160" w:line="256" w:lineRule="auto"/>
              <w:rPr>
                <w:color w:val="000000"/>
                <w:spacing w:val="0"/>
                <w:sz w:val="16"/>
                <w:szCs w:val="16"/>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31097E" w:rsidRPr="0031097E" w:rsidRDefault="0031097E" w:rsidP="0031097E">
            <w:pPr>
              <w:spacing w:after="160" w:line="256" w:lineRule="auto"/>
              <w:rPr>
                <w:color w:val="000000"/>
                <w:spacing w:val="0"/>
                <w:sz w:val="16"/>
                <w:szCs w:val="16"/>
              </w:rPr>
            </w:pPr>
          </w:p>
        </w:tc>
        <w:tc>
          <w:tcPr>
            <w:tcW w:w="1205" w:type="dxa"/>
            <w:gridSpan w:val="2"/>
            <w:tcBorders>
              <w:top w:val="single" w:sz="4" w:space="0" w:color="auto"/>
              <w:left w:val="nil"/>
              <w:bottom w:val="single" w:sz="4" w:space="0" w:color="auto"/>
              <w:right w:val="single" w:sz="4" w:space="0" w:color="auto"/>
            </w:tcBorders>
            <w:vAlign w:val="bottom"/>
            <w:hideMark/>
          </w:tcPr>
          <w:p w:rsidR="0031097E" w:rsidRPr="0031097E" w:rsidRDefault="0031097E" w:rsidP="0031097E">
            <w:pPr>
              <w:spacing w:after="160" w:line="259" w:lineRule="auto"/>
              <w:jc w:val="center"/>
              <w:rPr>
                <w:rFonts w:asciiTheme="minorHAnsi" w:eastAsiaTheme="minorHAnsi" w:hAnsiTheme="minorHAnsi" w:cstheme="minorBidi"/>
                <w:spacing w:val="0"/>
                <w:sz w:val="22"/>
                <w:szCs w:val="22"/>
              </w:rPr>
            </w:pPr>
            <w:r w:rsidRPr="0031097E">
              <w:rPr>
                <w:rFonts w:eastAsiaTheme="minorHAnsi"/>
                <w:spacing w:val="0"/>
                <w:sz w:val="16"/>
                <w:szCs w:val="16"/>
                <w:lang w:eastAsia="en-US"/>
              </w:rPr>
              <w:t>Количество</w:t>
            </w:r>
            <w:r w:rsidRPr="0031097E">
              <w:rPr>
                <w:rFonts w:eastAsiaTheme="minorHAnsi"/>
                <w:spacing w:val="0"/>
                <w:sz w:val="16"/>
                <w:szCs w:val="16"/>
                <w:lang w:val="en-US" w:eastAsia="en-US"/>
              </w:rPr>
              <w:t xml:space="preserve"> </w:t>
            </w:r>
            <w:proofErr w:type="spellStart"/>
            <w:r w:rsidRPr="0031097E">
              <w:rPr>
                <w:rFonts w:eastAsiaTheme="minorHAnsi"/>
                <w:spacing w:val="0"/>
                <w:sz w:val="16"/>
                <w:szCs w:val="16"/>
                <w:lang w:eastAsia="en-US"/>
              </w:rPr>
              <w:t>светильников,штук</w:t>
            </w:r>
            <w:proofErr w:type="spellEnd"/>
          </w:p>
        </w:tc>
        <w:tc>
          <w:tcPr>
            <w:tcW w:w="992" w:type="dxa"/>
            <w:tcBorders>
              <w:top w:val="nil"/>
              <w:left w:val="single" w:sz="4" w:space="0" w:color="auto"/>
              <w:bottom w:val="single" w:sz="4" w:space="0" w:color="auto"/>
              <w:right w:val="single" w:sz="4" w:space="0" w:color="auto"/>
            </w:tcBorders>
            <w:vAlign w:val="bottom"/>
            <w:hideMark/>
          </w:tcPr>
          <w:p w:rsidR="0031097E" w:rsidRPr="0031097E" w:rsidRDefault="0031097E" w:rsidP="0031097E">
            <w:pPr>
              <w:spacing w:after="160" w:line="256" w:lineRule="auto"/>
              <w:jc w:val="center"/>
              <w:rPr>
                <w:color w:val="000000"/>
                <w:spacing w:val="0"/>
                <w:sz w:val="16"/>
                <w:szCs w:val="16"/>
              </w:rPr>
            </w:pPr>
            <w:r w:rsidRPr="0031097E">
              <w:rPr>
                <w:color w:val="000000"/>
                <w:spacing w:val="0"/>
                <w:sz w:val="16"/>
                <w:szCs w:val="16"/>
              </w:rPr>
              <w:t>Сумма, руб.</w:t>
            </w:r>
          </w:p>
        </w:tc>
        <w:tc>
          <w:tcPr>
            <w:tcW w:w="1276" w:type="dxa"/>
            <w:gridSpan w:val="2"/>
            <w:tcBorders>
              <w:top w:val="single" w:sz="4" w:space="0" w:color="auto"/>
              <w:left w:val="nil"/>
              <w:bottom w:val="single" w:sz="4" w:space="0" w:color="auto"/>
              <w:right w:val="single" w:sz="4" w:space="0" w:color="auto"/>
            </w:tcBorders>
            <w:vAlign w:val="bottom"/>
            <w:hideMark/>
          </w:tcPr>
          <w:p w:rsidR="0031097E" w:rsidRPr="0031097E" w:rsidRDefault="0031097E" w:rsidP="0031097E">
            <w:pPr>
              <w:spacing w:after="160" w:line="259" w:lineRule="auto"/>
              <w:jc w:val="center"/>
              <w:rPr>
                <w:rFonts w:eastAsiaTheme="minorHAnsi"/>
                <w:spacing w:val="0"/>
                <w:sz w:val="16"/>
                <w:szCs w:val="16"/>
                <w:lang w:eastAsia="en-US"/>
              </w:rPr>
            </w:pPr>
            <w:r w:rsidRPr="0031097E">
              <w:rPr>
                <w:rFonts w:eastAsiaTheme="minorHAnsi"/>
                <w:spacing w:val="0"/>
                <w:sz w:val="16"/>
                <w:szCs w:val="16"/>
                <w:lang w:eastAsia="en-US"/>
              </w:rPr>
              <w:t>Количество светильников, штук</w:t>
            </w:r>
          </w:p>
        </w:tc>
        <w:tc>
          <w:tcPr>
            <w:tcW w:w="992" w:type="dxa"/>
            <w:tcBorders>
              <w:top w:val="nil"/>
              <w:left w:val="single" w:sz="4" w:space="0" w:color="auto"/>
              <w:bottom w:val="single" w:sz="4" w:space="0" w:color="auto"/>
              <w:right w:val="single" w:sz="4" w:space="0" w:color="auto"/>
            </w:tcBorders>
            <w:vAlign w:val="bottom"/>
            <w:hideMark/>
          </w:tcPr>
          <w:p w:rsidR="0031097E" w:rsidRPr="0031097E" w:rsidRDefault="0031097E" w:rsidP="0031097E">
            <w:pPr>
              <w:spacing w:after="160" w:line="256" w:lineRule="auto"/>
              <w:jc w:val="center"/>
              <w:rPr>
                <w:color w:val="000000"/>
                <w:spacing w:val="0"/>
                <w:sz w:val="16"/>
                <w:szCs w:val="16"/>
              </w:rPr>
            </w:pPr>
            <w:r w:rsidRPr="0031097E">
              <w:rPr>
                <w:color w:val="000000"/>
                <w:spacing w:val="0"/>
                <w:sz w:val="16"/>
                <w:szCs w:val="16"/>
              </w:rPr>
              <w:t>Сумма, руб.</w:t>
            </w:r>
          </w:p>
        </w:tc>
        <w:tc>
          <w:tcPr>
            <w:tcW w:w="1417" w:type="dxa"/>
            <w:gridSpan w:val="2"/>
            <w:tcBorders>
              <w:top w:val="single" w:sz="4" w:space="0" w:color="auto"/>
              <w:left w:val="nil"/>
              <w:bottom w:val="single" w:sz="4" w:space="0" w:color="auto"/>
              <w:right w:val="single" w:sz="4" w:space="0" w:color="auto"/>
            </w:tcBorders>
            <w:vAlign w:val="bottom"/>
            <w:hideMark/>
          </w:tcPr>
          <w:p w:rsidR="0031097E" w:rsidRPr="0031097E" w:rsidRDefault="0031097E" w:rsidP="0031097E">
            <w:pPr>
              <w:spacing w:after="160" w:line="259" w:lineRule="auto"/>
              <w:jc w:val="center"/>
              <w:rPr>
                <w:rFonts w:eastAsiaTheme="minorHAnsi"/>
                <w:spacing w:val="0"/>
                <w:sz w:val="16"/>
                <w:szCs w:val="16"/>
                <w:lang w:eastAsia="en-US"/>
              </w:rPr>
            </w:pPr>
            <w:r w:rsidRPr="0031097E">
              <w:rPr>
                <w:rFonts w:eastAsiaTheme="minorHAnsi"/>
                <w:spacing w:val="0"/>
                <w:sz w:val="16"/>
                <w:szCs w:val="16"/>
                <w:lang w:eastAsia="en-US"/>
              </w:rPr>
              <w:t>Количество светильников, штук</w:t>
            </w:r>
          </w:p>
        </w:tc>
        <w:tc>
          <w:tcPr>
            <w:tcW w:w="993" w:type="dxa"/>
            <w:tcBorders>
              <w:top w:val="nil"/>
              <w:left w:val="single" w:sz="4" w:space="0" w:color="auto"/>
              <w:bottom w:val="single" w:sz="4" w:space="0" w:color="auto"/>
              <w:right w:val="single" w:sz="4" w:space="0" w:color="auto"/>
            </w:tcBorders>
            <w:vAlign w:val="bottom"/>
            <w:hideMark/>
          </w:tcPr>
          <w:p w:rsidR="0031097E" w:rsidRPr="0031097E" w:rsidRDefault="0031097E" w:rsidP="0031097E">
            <w:pPr>
              <w:spacing w:after="160" w:line="256" w:lineRule="auto"/>
              <w:jc w:val="center"/>
              <w:rPr>
                <w:color w:val="000000"/>
                <w:spacing w:val="0"/>
                <w:sz w:val="16"/>
                <w:szCs w:val="16"/>
              </w:rPr>
            </w:pPr>
            <w:r w:rsidRPr="0031097E">
              <w:rPr>
                <w:color w:val="000000"/>
                <w:spacing w:val="0"/>
                <w:sz w:val="16"/>
                <w:szCs w:val="16"/>
              </w:rPr>
              <w:t>Сумма, руб.</w:t>
            </w:r>
          </w:p>
        </w:tc>
        <w:tc>
          <w:tcPr>
            <w:tcW w:w="1276" w:type="dxa"/>
            <w:gridSpan w:val="2"/>
            <w:tcBorders>
              <w:top w:val="single" w:sz="4" w:space="0" w:color="auto"/>
              <w:left w:val="nil"/>
              <w:bottom w:val="single" w:sz="4" w:space="0" w:color="auto"/>
              <w:right w:val="single" w:sz="4" w:space="0" w:color="auto"/>
            </w:tcBorders>
            <w:vAlign w:val="bottom"/>
            <w:hideMark/>
          </w:tcPr>
          <w:p w:rsidR="0031097E" w:rsidRPr="0031097E" w:rsidRDefault="0031097E" w:rsidP="0031097E">
            <w:pPr>
              <w:spacing w:after="160" w:line="256" w:lineRule="auto"/>
              <w:ind w:right="-103"/>
              <w:jc w:val="center"/>
              <w:rPr>
                <w:color w:val="000000"/>
                <w:spacing w:val="0"/>
                <w:sz w:val="16"/>
                <w:szCs w:val="16"/>
              </w:rPr>
            </w:pPr>
            <w:r w:rsidRPr="0031097E">
              <w:rPr>
                <w:color w:val="000000"/>
                <w:spacing w:val="0"/>
                <w:sz w:val="16"/>
                <w:szCs w:val="16"/>
              </w:rPr>
              <w:t>Количество светильников, штук</w:t>
            </w:r>
          </w:p>
        </w:tc>
        <w:tc>
          <w:tcPr>
            <w:tcW w:w="992" w:type="dxa"/>
            <w:tcBorders>
              <w:top w:val="nil"/>
              <w:left w:val="single" w:sz="4" w:space="0" w:color="auto"/>
              <w:bottom w:val="single" w:sz="4" w:space="0" w:color="auto"/>
              <w:right w:val="single" w:sz="4" w:space="0" w:color="auto"/>
            </w:tcBorders>
            <w:vAlign w:val="bottom"/>
            <w:hideMark/>
          </w:tcPr>
          <w:p w:rsidR="0031097E" w:rsidRPr="0031097E" w:rsidRDefault="0031097E" w:rsidP="0031097E">
            <w:pPr>
              <w:spacing w:after="160" w:line="256" w:lineRule="auto"/>
              <w:jc w:val="center"/>
              <w:rPr>
                <w:color w:val="000000"/>
                <w:spacing w:val="0"/>
                <w:sz w:val="16"/>
                <w:szCs w:val="16"/>
              </w:rPr>
            </w:pPr>
            <w:r w:rsidRPr="0031097E">
              <w:rPr>
                <w:color w:val="000000"/>
                <w:spacing w:val="0"/>
                <w:sz w:val="16"/>
                <w:szCs w:val="16"/>
              </w:rPr>
              <w:t>Сумма, руб.</w:t>
            </w:r>
          </w:p>
        </w:tc>
        <w:tc>
          <w:tcPr>
            <w:tcW w:w="1418" w:type="dxa"/>
            <w:gridSpan w:val="2"/>
            <w:tcBorders>
              <w:top w:val="single" w:sz="4" w:space="0" w:color="auto"/>
              <w:left w:val="nil"/>
              <w:bottom w:val="single" w:sz="4" w:space="0" w:color="auto"/>
              <w:right w:val="single" w:sz="4" w:space="0" w:color="auto"/>
            </w:tcBorders>
            <w:vAlign w:val="bottom"/>
            <w:hideMark/>
          </w:tcPr>
          <w:p w:rsidR="0031097E" w:rsidRPr="0031097E" w:rsidRDefault="0031097E" w:rsidP="0031097E">
            <w:pPr>
              <w:spacing w:after="160" w:line="256" w:lineRule="auto"/>
              <w:jc w:val="center"/>
              <w:rPr>
                <w:color w:val="000000"/>
                <w:spacing w:val="0"/>
                <w:sz w:val="16"/>
                <w:szCs w:val="16"/>
              </w:rPr>
            </w:pPr>
            <w:r w:rsidRPr="0031097E">
              <w:rPr>
                <w:color w:val="000000"/>
                <w:spacing w:val="0"/>
                <w:sz w:val="16"/>
                <w:szCs w:val="16"/>
              </w:rPr>
              <w:t>Количество светильников, штук</w:t>
            </w:r>
          </w:p>
        </w:tc>
        <w:tc>
          <w:tcPr>
            <w:tcW w:w="992" w:type="dxa"/>
            <w:tcBorders>
              <w:top w:val="nil"/>
              <w:left w:val="single" w:sz="4" w:space="0" w:color="auto"/>
              <w:bottom w:val="single" w:sz="4" w:space="0" w:color="auto"/>
              <w:right w:val="single" w:sz="4" w:space="0" w:color="auto"/>
            </w:tcBorders>
            <w:vAlign w:val="bottom"/>
            <w:hideMark/>
          </w:tcPr>
          <w:p w:rsidR="0031097E" w:rsidRPr="0031097E" w:rsidRDefault="0031097E" w:rsidP="0031097E">
            <w:pPr>
              <w:spacing w:after="160" w:line="256" w:lineRule="auto"/>
              <w:jc w:val="center"/>
              <w:rPr>
                <w:color w:val="000000"/>
                <w:spacing w:val="0"/>
                <w:sz w:val="16"/>
                <w:szCs w:val="16"/>
              </w:rPr>
            </w:pPr>
            <w:r w:rsidRPr="0031097E">
              <w:rPr>
                <w:color w:val="000000"/>
                <w:spacing w:val="0"/>
                <w:sz w:val="16"/>
                <w:szCs w:val="16"/>
              </w:rPr>
              <w:t>Сумма, руб.</w:t>
            </w:r>
          </w:p>
        </w:tc>
        <w:tc>
          <w:tcPr>
            <w:tcW w:w="1417" w:type="dxa"/>
            <w:gridSpan w:val="2"/>
            <w:tcBorders>
              <w:top w:val="single" w:sz="4" w:space="0" w:color="auto"/>
              <w:left w:val="nil"/>
              <w:bottom w:val="single" w:sz="4" w:space="0" w:color="auto"/>
              <w:right w:val="single" w:sz="4" w:space="0" w:color="auto"/>
            </w:tcBorders>
            <w:vAlign w:val="bottom"/>
            <w:hideMark/>
          </w:tcPr>
          <w:p w:rsidR="0031097E" w:rsidRPr="0031097E" w:rsidRDefault="0031097E" w:rsidP="0031097E">
            <w:pPr>
              <w:spacing w:after="160" w:line="256" w:lineRule="auto"/>
              <w:jc w:val="center"/>
              <w:rPr>
                <w:b/>
                <w:bCs/>
                <w:color w:val="000000"/>
                <w:spacing w:val="0"/>
                <w:sz w:val="16"/>
                <w:szCs w:val="16"/>
              </w:rPr>
            </w:pPr>
            <w:r w:rsidRPr="0031097E">
              <w:rPr>
                <w:b/>
                <w:bCs/>
                <w:color w:val="000000"/>
                <w:spacing w:val="0"/>
                <w:sz w:val="16"/>
                <w:szCs w:val="16"/>
              </w:rPr>
              <w:t>Количество светильников, штук</w:t>
            </w:r>
          </w:p>
        </w:tc>
        <w:tc>
          <w:tcPr>
            <w:tcW w:w="1134" w:type="dxa"/>
            <w:tcBorders>
              <w:top w:val="nil"/>
              <w:left w:val="single" w:sz="4" w:space="0" w:color="auto"/>
              <w:bottom w:val="single" w:sz="4" w:space="0" w:color="auto"/>
              <w:right w:val="single" w:sz="4" w:space="0" w:color="auto"/>
            </w:tcBorders>
            <w:vAlign w:val="center"/>
            <w:hideMark/>
          </w:tcPr>
          <w:p w:rsidR="0031097E" w:rsidRPr="0031097E" w:rsidRDefault="0031097E" w:rsidP="0031097E">
            <w:pPr>
              <w:jc w:val="center"/>
              <w:rPr>
                <w:rFonts w:eastAsiaTheme="minorHAnsi"/>
                <w:b/>
                <w:spacing w:val="0"/>
                <w:sz w:val="16"/>
                <w:szCs w:val="16"/>
              </w:rPr>
            </w:pPr>
            <w:r w:rsidRPr="0031097E">
              <w:rPr>
                <w:rFonts w:eastAsiaTheme="minorHAnsi"/>
                <w:b/>
                <w:spacing w:val="0"/>
                <w:sz w:val="16"/>
                <w:szCs w:val="16"/>
              </w:rPr>
              <w:t>Сумма,</w:t>
            </w:r>
          </w:p>
          <w:p w:rsidR="0031097E" w:rsidRPr="0031097E" w:rsidRDefault="0031097E" w:rsidP="0031097E">
            <w:pPr>
              <w:jc w:val="center"/>
              <w:rPr>
                <w:rFonts w:asciiTheme="minorHAnsi" w:eastAsiaTheme="minorHAnsi" w:hAnsiTheme="minorHAnsi" w:cstheme="minorBidi"/>
                <w:b/>
                <w:spacing w:val="0"/>
                <w:sz w:val="22"/>
                <w:szCs w:val="22"/>
                <w:lang w:eastAsia="en-US"/>
              </w:rPr>
            </w:pPr>
            <w:r w:rsidRPr="0031097E">
              <w:rPr>
                <w:rFonts w:eastAsiaTheme="minorHAnsi"/>
                <w:b/>
                <w:spacing w:val="0"/>
                <w:sz w:val="16"/>
                <w:szCs w:val="16"/>
              </w:rPr>
              <w:t>руб.</w:t>
            </w:r>
          </w:p>
        </w:tc>
      </w:tr>
      <w:tr w:rsidR="0031097E" w:rsidRPr="0031097E" w:rsidTr="00D04E56">
        <w:trPr>
          <w:trHeight w:val="249"/>
          <w:jc w:val="center"/>
        </w:trPr>
        <w:tc>
          <w:tcPr>
            <w:tcW w:w="602" w:type="dxa"/>
            <w:vMerge/>
            <w:tcBorders>
              <w:top w:val="single" w:sz="4" w:space="0" w:color="auto"/>
              <w:left w:val="single" w:sz="4" w:space="0" w:color="auto"/>
              <w:bottom w:val="single" w:sz="4" w:space="0" w:color="auto"/>
              <w:right w:val="single" w:sz="4" w:space="0" w:color="auto"/>
            </w:tcBorders>
            <w:vAlign w:val="center"/>
            <w:hideMark/>
          </w:tcPr>
          <w:p w:rsidR="0031097E" w:rsidRPr="0031097E" w:rsidRDefault="0031097E" w:rsidP="0031097E">
            <w:pPr>
              <w:spacing w:after="160" w:line="256" w:lineRule="auto"/>
              <w:rPr>
                <w:color w:val="000000"/>
                <w:spacing w:val="0"/>
                <w:sz w:val="16"/>
                <w:szCs w:val="16"/>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31097E" w:rsidRPr="0031097E" w:rsidRDefault="0031097E" w:rsidP="0031097E">
            <w:pPr>
              <w:spacing w:after="160" w:line="256" w:lineRule="auto"/>
              <w:rPr>
                <w:color w:val="000000"/>
                <w:spacing w:val="0"/>
                <w:sz w:val="16"/>
                <w:szCs w:val="16"/>
              </w:rPr>
            </w:pPr>
          </w:p>
        </w:tc>
        <w:tc>
          <w:tcPr>
            <w:tcW w:w="536"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color w:val="000000"/>
                <w:spacing w:val="0"/>
                <w:sz w:val="16"/>
                <w:szCs w:val="16"/>
              </w:rPr>
              <w:t>50 Вт</w:t>
            </w:r>
          </w:p>
        </w:tc>
        <w:tc>
          <w:tcPr>
            <w:tcW w:w="66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color w:val="000000"/>
                <w:spacing w:val="0"/>
                <w:sz w:val="16"/>
                <w:szCs w:val="16"/>
              </w:rPr>
              <w:t>100 Вт</w:t>
            </w:r>
          </w:p>
        </w:tc>
        <w:tc>
          <w:tcPr>
            <w:tcW w:w="992" w:type="dxa"/>
            <w:tcBorders>
              <w:top w:val="nil"/>
              <w:left w:val="single" w:sz="4" w:space="0" w:color="auto"/>
              <w:bottom w:val="single" w:sz="4" w:space="0" w:color="auto"/>
              <w:right w:val="single" w:sz="4" w:space="0" w:color="auto"/>
            </w:tcBorders>
            <w:vAlign w:val="center"/>
            <w:hideMark/>
          </w:tcPr>
          <w:p w:rsidR="0031097E" w:rsidRPr="0031097E" w:rsidRDefault="0031097E" w:rsidP="0031097E">
            <w:pPr>
              <w:spacing w:after="160" w:line="259" w:lineRule="auto"/>
              <w:rPr>
                <w:color w:val="000000"/>
                <w:spacing w:val="0"/>
                <w:sz w:val="16"/>
                <w:szCs w:val="16"/>
              </w:rPr>
            </w:pPr>
          </w:p>
        </w:tc>
        <w:tc>
          <w:tcPr>
            <w:tcW w:w="567"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color w:val="000000"/>
                <w:spacing w:val="0"/>
                <w:sz w:val="16"/>
                <w:szCs w:val="16"/>
              </w:rPr>
              <w:t>50 Вт</w:t>
            </w:r>
          </w:p>
        </w:tc>
        <w:tc>
          <w:tcPr>
            <w:tcW w:w="70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rPr>
                <w:color w:val="000000"/>
                <w:spacing w:val="0"/>
                <w:sz w:val="16"/>
                <w:szCs w:val="16"/>
              </w:rPr>
            </w:pPr>
            <w:r w:rsidRPr="0031097E">
              <w:rPr>
                <w:color w:val="000000"/>
                <w:spacing w:val="0"/>
                <w:sz w:val="16"/>
                <w:szCs w:val="16"/>
              </w:rPr>
              <w:t>100 Вт</w:t>
            </w:r>
          </w:p>
        </w:tc>
        <w:tc>
          <w:tcPr>
            <w:tcW w:w="992" w:type="dxa"/>
            <w:tcBorders>
              <w:top w:val="nil"/>
              <w:left w:val="single" w:sz="4" w:space="0" w:color="auto"/>
              <w:bottom w:val="single" w:sz="4" w:space="0" w:color="auto"/>
              <w:right w:val="single" w:sz="4" w:space="0" w:color="auto"/>
            </w:tcBorders>
            <w:vAlign w:val="center"/>
            <w:hideMark/>
          </w:tcPr>
          <w:p w:rsidR="0031097E" w:rsidRPr="0031097E" w:rsidRDefault="0031097E" w:rsidP="0031097E">
            <w:pPr>
              <w:spacing w:after="160" w:line="259" w:lineRule="auto"/>
              <w:rPr>
                <w:color w:val="000000"/>
                <w:spacing w:val="0"/>
                <w:sz w:val="16"/>
                <w:szCs w:val="16"/>
              </w:rPr>
            </w:pPr>
          </w:p>
        </w:tc>
        <w:tc>
          <w:tcPr>
            <w:tcW w:w="70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rPr>
                <w:color w:val="000000"/>
                <w:spacing w:val="0"/>
                <w:sz w:val="16"/>
                <w:szCs w:val="16"/>
              </w:rPr>
            </w:pPr>
            <w:r w:rsidRPr="0031097E">
              <w:rPr>
                <w:color w:val="000000"/>
                <w:spacing w:val="0"/>
                <w:sz w:val="16"/>
                <w:szCs w:val="16"/>
              </w:rPr>
              <w:t>50 Вт</w:t>
            </w:r>
          </w:p>
        </w:tc>
        <w:tc>
          <w:tcPr>
            <w:tcW w:w="708"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rPr>
                <w:color w:val="000000"/>
                <w:spacing w:val="0"/>
                <w:sz w:val="16"/>
                <w:szCs w:val="16"/>
              </w:rPr>
            </w:pPr>
            <w:r w:rsidRPr="0031097E">
              <w:rPr>
                <w:color w:val="000000"/>
                <w:spacing w:val="0"/>
                <w:sz w:val="16"/>
                <w:szCs w:val="16"/>
              </w:rPr>
              <w:t>100 Вт</w:t>
            </w:r>
          </w:p>
        </w:tc>
        <w:tc>
          <w:tcPr>
            <w:tcW w:w="993" w:type="dxa"/>
            <w:tcBorders>
              <w:top w:val="nil"/>
              <w:left w:val="single" w:sz="4" w:space="0" w:color="auto"/>
              <w:bottom w:val="single" w:sz="4" w:space="0" w:color="auto"/>
              <w:right w:val="single" w:sz="4" w:space="0" w:color="auto"/>
            </w:tcBorders>
            <w:vAlign w:val="center"/>
            <w:hideMark/>
          </w:tcPr>
          <w:p w:rsidR="0031097E" w:rsidRPr="0031097E" w:rsidRDefault="0031097E" w:rsidP="0031097E">
            <w:pPr>
              <w:spacing w:after="160" w:line="259" w:lineRule="auto"/>
              <w:rPr>
                <w:color w:val="000000"/>
                <w:spacing w:val="0"/>
                <w:sz w:val="16"/>
                <w:szCs w:val="16"/>
              </w:rPr>
            </w:pPr>
          </w:p>
        </w:tc>
        <w:tc>
          <w:tcPr>
            <w:tcW w:w="70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rPr>
                <w:color w:val="000000"/>
                <w:spacing w:val="0"/>
                <w:sz w:val="16"/>
                <w:szCs w:val="16"/>
              </w:rPr>
            </w:pPr>
            <w:r w:rsidRPr="0031097E">
              <w:rPr>
                <w:color w:val="000000"/>
                <w:spacing w:val="0"/>
                <w:sz w:val="16"/>
                <w:szCs w:val="16"/>
              </w:rPr>
              <w:t>50 Вт</w:t>
            </w:r>
          </w:p>
        </w:tc>
        <w:tc>
          <w:tcPr>
            <w:tcW w:w="567"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ind w:hanging="53"/>
              <w:jc w:val="center"/>
              <w:rPr>
                <w:color w:val="000000"/>
                <w:spacing w:val="0"/>
                <w:sz w:val="16"/>
                <w:szCs w:val="16"/>
              </w:rPr>
            </w:pPr>
            <w:r w:rsidRPr="0031097E">
              <w:rPr>
                <w:color w:val="000000"/>
                <w:spacing w:val="0"/>
                <w:sz w:val="16"/>
                <w:szCs w:val="16"/>
              </w:rPr>
              <w:t>100 Вт</w:t>
            </w:r>
          </w:p>
        </w:tc>
        <w:tc>
          <w:tcPr>
            <w:tcW w:w="992" w:type="dxa"/>
            <w:tcBorders>
              <w:top w:val="nil"/>
              <w:left w:val="single" w:sz="4" w:space="0" w:color="auto"/>
              <w:bottom w:val="single" w:sz="4" w:space="0" w:color="auto"/>
              <w:right w:val="single" w:sz="4" w:space="0" w:color="auto"/>
            </w:tcBorders>
            <w:vAlign w:val="center"/>
            <w:hideMark/>
          </w:tcPr>
          <w:p w:rsidR="0031097E" w:rsidRPr="0031097E" w:rsidRDefault="0031097E" w:rsidP="0031097E">
            <w:pPr>
              <w:spacing w:after="160" w:line="259" w:lineRule="auto"/>
              <w:rPr>
                <w:color w:val="000000"/>
                <w:spacing w:val="0"/>
                <w:sz w:val="16"/>
                <w:szCs w:val="16"/>
              </w:rPr>
            </w:pPr>
          </w:p>
        </w:tc>
        <w:tc>
          <w:tcPr>
            <w:tcW w:w="70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rPr>
                <w:color w:val="000000"/>
                <w:spacing w:val="0"/>
                <w:sz w:val="16"/>
                <w:szCs w:val="16"/>
              </w:rPr>
            </w:pPr>
            <w:r w:rsidRPr="0031097E">
              <w:rPr>
                <w:color w:val="000000"/>
                <w:spacing w:val="0"/>
                <w:sz w:val="16"/>
                <w:szCs w:val="16"/>
              </w:rPr>
              <w:t>50 Вт</w:t>
            </w:r>
          </w:p>
        </w:tc>
        <w:tc>
          <w:tcPr>
            <w:tcW w:w="70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rPr>
                <w:color w:val="000000"/>
                <w:spacing w:val="0"/>
                <w:sz w:val="16"/>
                <w:szCs w:val="16"/>
              </w:rPr>
            </w:pPr>
            <w:r w:rsidRPr="0031097E">
              <w:rPr>
                <w:color w:val="000000"/>
                <w:spacing w:val="0"/>
                <w:sz w:val="16"/>
                <w:szCs w:val="16"/>
              </w:rPr>
              <w:t>100 Вт</w:t>
            </w:r>
          </w:p>
        </w:tc>
        <w:tc>
          <w:tcPr>
            <w:tcW w:w="992" w:type="dxa"/>
            <w:tcBorders>
              <w:top w:val="nil"/>
              <w:left w:val="single" w:sz="4" w:space="0" w:color="auto"/>
              <w:bottom w:val="single" w:sz="4" w:space="0" w:color="auto"/>
              <w:right w:val="single" w:sz="4" w:space="0" w:color="auto"/>
            </w:tcBorders>
            <w:vAlign w:val="center"/>
            <w:hideMark/>
          </w:tcPr>
          <w:p w:rsidR="0031097E" w:rsidRPr="0031097E" w:rsidRDefault="0031097E" w:rsidP="0031097E">
            <w:pPr>
              <w:spacing w:after="160" w:line="259" w:lineRule="auto"/>
              <w:rPr>
                <w:color w:val="000000"/>
                <w:spacing w:val="0"/>
                <w:sz w:val="16"/>
                <w:szCs w:val="16"/>
              </w:rPr>
            </w:pPr>
          </w:p>
        </w:tc>
        <w:tc>
          <w:tcPr>
            <w:tcW w:w="70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rPr>
                <w:b/>
                <w:bCs/>
                <w:color w:val="000000"/>
                <w:spacing w:val="0"/>
                <w:sz w:val="16"/>
                <w:szCs w:val="16"/>
              </w:rPr>
            </w:pPr>
            <w:r w:rsidRPr="0031097E">
              <w:rPr>
                <w:b/>
                <w:bCs/>
                <w:color w:val="000000"/>
                <w:spacing w:val="0"/>
                <w:sz w:val="16"/>
                <w:szCs w:val="16"/>
              </w:rPr>
              <w:t>50 Вт</w:t>
            </w:r>
          </w:p>
        </w:tc>
        <w:tc>
          <w:tcPr>
            <w:tcW w:w="708"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rPr>
                <w:b/>
                <w:bCs/>
                <w:color w:val="000000"/>
                <w:spacing w:val="0"/>
                <w:sz w:val="16"/>
                <w:szCs w:val="16"/>
              </w:rPr>
            </w:pPr>
            <w:r w:rsidRPr="0031097E">
              <w:rPr>
                <w:b/>
                <w:bCs/>
                <w:color w:val="000000"/>
                <w:spacing w:val="0"/>
                <w:sz w:val="16"/>
                <w:szCs w:val="16"/>
              </w:rPr>
              <w:t>100 Вт</w:t>
            </w:r>
          </w:p>
        </w:tc>
        <w:tc>
          <w:tcPr>
            <w:tcW w:w="1134" w:type="dxa"/>
            <w:tcBorders>
              <w:top w:val="nil"/>
              <w:left w:val="single" w:sz="4" w:space="0" w:color="auto"/>
              <w:bottom w:val="single" w:sz="4" w:space="0" w:color="auto"/>
              <w:right w:val="single" w:sz="4" w:space="0" w:color="auto"/>
            </w:tcBorders>
            <w:vAlign w:val="center"/>
            <w:hideMark/>
          </w:tcPr>
          <w:p w:rsidR="0031097E" w:rsidRPr="0031097E" w:rsidRDefault="0031097E" w:rsidP="0031097E">
            <w:pPr>
              <w:spacing w:after="160" w:line="259" w:lineRule="auto"/>
              <w:rPr>
                <w:b/>
                <w:bCs/>
                <w:color w:val="000000"/>
                <w:spacing w:val="0"/>
                <w:sz w:val="16"/>
                <w:szCs w:val="16"/>
              </w:rPr>
            </w:pPr>
          </w:p>
        </w:tc>
      </w:tr>
      <w:tr w:rsidR="0031097E" w:rsidRPr="0031097E" w:rsidTr="00D04E56">
        <w:trPr>
          <w:trHeight w:val="249"/>
          <w:jc w:val="center"/>
        </w:trPr>
        <w:tc>
          <w:tcPr>
            <w:tcW w:w="602" w:type="dxa"/>
            <w:tcBorders>
              <w:top w:val="nil"/>
              <w:left w:val="single" w:sz="4" w:space="0" w:color="auto"/>
              <w:bottom w:val="single" w:sz="4" w:space="0" w:color="auto"/>
              <w:right w:val="single" w:sz="4" w:space="0" w:color="auto"/>
            </w:tcBorders>
            <w:noWrap/>
            <w:vAlign w:val="center"/>
            <w:hideMark/>
          </w:tcPr>
          <w:p w:rsidR="0031097E" w:rsidRPr="0031097E" w:rsidRDefault="0031097E" w:rsidP="0031097E">
            <w:pPr>
              <w:spacing w:after="160" w:line="256" w:lineRule="auto"/>
              <w:ind w:right="-249" w:hanging="241"/>
              <w:jc w:val="center"/>
              <w:rPr>
                <w:color w:val="000000"/>
                <w:spacing w:val="0"/>
                <w:sz w:val="16"/>
                <w:szCs w:val="16"/>
              </w:rPr>
            </w:pPr>
            <w:r w:rsidRPr="0031097E">
              <w:rPr>
                <w:color w:val="000000"/>
                <w:spacing w:val="0"/>
                <w:sz w:val="16"/>
                <w:szCs w:val="16"/>
              </w:rPr>
              <w:t>1.</w:t>
            </w:r>
          </w:p>
        </w:tc>
        <w:tc>
          <w:tcPr>
            <w:tcW w:w="1449" w:type="dxa"/>
            <w:tcBorders>
              <w:top w:val="nil"/>
              <w:left w:val="nil"/>
              <w:bottom w:val="single" w:sz="4" w:space="0" w:color="auto"/>
              <w:right w:val="single" w:sz="4" w:space="0" w:color="auto"/>
            </w:tcBorders>
            <w:vAlign w:val="center"/>
            <w:hideMark/>
          </w:tcPr>
          <w:p w:rsidR="0031097E" w:rsidRPr="0031097E" w:rsidRDefault="0031097E" w:rsidP="0031097E">
            <w:pPr>
              <w:spacing w:after="160" w:line="256" w:lineRule="auto"/>
              <w:rPr>
                <w:color w:val="000000"/>
                <w:spacing w:val="0"/>
                <w:sz w:val="16"/>
                <w:szCs w:val="16"/>
              </w:rPr>
            </w:pPr>
            <w:r w:rsidRPr="0031097E">
              <w:rPr>
                <w:color w:val="000000"/>
                <w:spacing w:val="0"/>
                <w:sz w:val="16"/>
                <w:szCs w:val="16"/>
              </w:rPr>
              <w:t>г. Тирасполь</w:t>
            </w:r>
          </w:p>
        </w:tc>
        <w:tc>
          <w:tcPr>
            <w:tcW w:w="536"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37</w:t>
            </w:r>
          </w:p>
        </w:tc>
        <w:tc>
          <w:tcPr>
            <w:tcW w:w="66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64</w:t>
            </w:r>
          </w:p>
        </w:tc>
        <w:tc>
          <w:tcPr>
            <w:tcW w:w="992"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134 041</w:t>
            </w:r>
          </w:p>
        </w:tc>
        <w:tc>
          <w:tcPr>
            <w:tcW w:w="567"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224</w:t>
            </w:r>
          </w:p>
        </w:tc>
        <w:tc>
          <w:tcPr>
            <w:tcW w:w="70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112</w:t>
            </w:r>
          </w:p>
        </w:tc>
        <w:tc>
          <w:tcPr>
            <w:tcW w:w="992"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432 179</w:t>
            </w:r>
          </w:p>
        </w:tc>
        <w:tc>
          <w:tcPr>
            <w:tcW w:w="70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1164</w:t>
            </w:r>
          </w:p>
        </w:tc>
        <w:tc>
          <w:tcPr>
            <w:tcW w:w="708"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240</w:t>
            </w:r>
          </w:p>
        </w:tc>
        <w:tc>
          <w:tcPr>
            <w:tcW w:w="993"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1 817 186</w:t>
            </w:r>
          </w:p>
        </w:tc>
        <w:tc>
          <w:tcPr>
            <w:tcW w:w="70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1135</w:t>
            </w:r>
          </w:p>
        </w:tc>
        <w:tc>
          <w:tcPr>
            <w:tcW w:w="567"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242</w:t>
            </w:r>
          </w:p>
        </w:tc>
        <w:tc>
          <w:tcPr>
            <w:tcW w:w="992"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1 855 369</w:t>
            </w:r>
          </w:p>
        </w:tc>
        <w:tc>
          <w:tcPr>
            <w:tcW w:w="70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1108</w:t>
            </w:r>
          </w:p>
        </w:tc>
        <w:tc>
          <w:tcPr>
            <w:tcW w:w="70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233</w:t>
            </w:r>
          </w:p>
        </w:tc>
        <w:tc>
          <w:tcPr>
            <w:tcW w:w="992"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1 878 404</w:t>
            </w:r>
          </w:p>
        </w:tc>
        <w:tc>
          <w:tcPr>
            <w:tcW w:w="70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b/>
                <w:bCs/>
                <w:color w:val="000000"/>
                <w:spacing w:val="0"/>
                <w:sz w:val="16"/>
                <w:szCs w:val="16"/>
              </w:rPr>
            </w:pPr>
            <w:r w:rsidRPr="0031097E">
              <w:rPr>
                <w:rFonts w:eastAsia="Calibri"/>
                <w:b/>
                <w:bCs/>
                <w:color w:val="000000"/>
                <w:spacing w:val="0"/>
                <w:sz w:val="16"/>
                <w:szCs w:val="16"/>
                <w:lang w:eastAsia="en-US"/>
              </w:rPr>
              <w:t>3 668</w:t>
            </w:r>
          </w:p>
        </w:tc>
        <w:tc>
          <w:tcPr>
            <w:tcW w:w="708"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b/>
                <w:bCs/>
                <w:color w:val="000000"/>
                <w:spacing w:val="0"/>
                <w:sz w:val="16"/>
                <w:szCs w:val="16"/>
              </w:rPr>
            </w:pPr>
            <w:r w:rsidRPr="0031097E">
              <w:rPr>
                <w:rFonts w:eastAsia="Calibri"/>
                <w:b/>
                <w:bCs/>
                <w:color w:val="000000"/>
                <w:spacing w:val="0"/>
                <w:sz w:val="16"/>
                <w:szCs w:val="16"/>
                <w:lang w:eastAsia="en-US"/>
              </w:rPr>
              <w:t>891</w:t>
            </w:r>
          </w:p>
        </w:tc>
        <w:tc>
          <w:tcPr>
            <w:tcW w:w="1134"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b/>
                <w:bCs/>
                <w:color w:val="000000"/>
                <w:spacing w:val="0"/>
                <w:sz w:val="16"/>
                <w:szCs w:val="16"/>
              </w:rPr>
            </w:pPr>
            <w:r w:rsidRPr="0031097E">
              <w:rPr>
                <w:rFonts w:eastAsia="Calibri"/>
                <w:b/>
                <w:bCs/>
                <w:color w:val="000000"/>
                <w:spacing w:val="0"/>
                <w:sz w:val="16"/>
                <w:szCs w:val="16"/>
                <w:lang w:eastAsia="en-US"/>
              </w:rPr>
              <w:t>6 117 179</w:t>
            </w:r>
          </w:p>
        </w:tc>
      </w:tr>
      <w:tr w:rsidR="0031097E" w:rsidRPr="0031097E" w:rsidTr="00D04E56">
        <w:trPr>
          <w:trHeight w:val="249"/>
          <w:jc w:val="center"/>
        </w:trPr>
        <w:tc>
          <w:tcPr>
            <w:tcW w:w="602" w:type="dxa"/>
            <w:tcBorders>
              <w:top w:val="nil"/>
              <w:left w:val="single" w:sz="4" w:space="0" w:color="auto"/>
              <w:bottom w:val="single" w:sz="4" w:space="0" w:color="auto"/>
              <w:right w:val="single" w:sz="4" w:space="0" w:color="auto"/>
            </w:tcBorders>
            <w:noWrap/>
            <w:vAlign w:val="center"/>
            <w:hideMark/>
          </w:tcPr>
          <w:p w:rsidR="0031097E" w:rsidRPr="0031097E" w:rsidRDefault="0031097E" w:rsidP="0031097E">
            <w:pPr>
              <w:spacing w:after="160" w:line="256" w:lineRule="auto"/>
              <w:ind w:right="-249" w:hanging="241"/>
              <w:jc w:val="center"/>
              <w:rPr>
                <w:color w:val="000000"/>
                <w:spacing w:val="0"/>
                <w:sz w:val="16"/>
                <w:szCs w:val="16"/>
              </w:rPr>
            </w:pPr>
            <w:r w:rsidRPr="0031097E">
              <w:rPr>
                <w:color w:val="000000"/>
                <w:spacing w:val="0"/>
                <w:sz w:val="16"/>
                <w:szCs w:val="16"/>
              </w:rPr>
              <w:t>2.</w:t>
            </w:r>
          </w:p>
        </w:tc>
        <w:tc>
          <w:tcPr>
            <w:tcW w:w="1449" w:type="dxa"/>
            <w:tcBorders>
              <w:top w:val="nil"/>
              <w:left w:val="nil"/>
              <w:bottom w:val="single" w:sz="4" w:space="0" w:color="auto"/>
              <w:right w:val="single" w:sz="4" w:space="0" w:color="auto"/>
            </w:tcBorders>
            <w:vAlign w:val="center"/>
            <w:hideMark/>
          </w:tcPr>
          <w:p w:rsidR="0031097E" w:rsidRPr="0031097E" w:rsidRDefault="0031097E" w:rsidP="0031097E">
            <w:pPr>
              <w:spacing w:after="160" w:line="256" w:lineRule="auto"/>
              <w:rPr>
                <w:color w:val="000000"/>
                <w:spacing w:val="0"/>
                <w:sz w:val="16"/>
                <w:szCs w:val="16"/>
              </w:rPr>
            </w:pPr>
            <w:r w:rsidRPr="0031097E">
              <w:rPr>
                <w:color w:val="000000"/>
                <w:spacing w:val="0"/>
                <w:sz w:val="16"/>
                <w:szCs w:val="16"/>
              </w:rPr>
              <w:t>г. Бендеры</w:t>
            </w:r>
          </w:p>
        </w:tc>
        <w:tc>
          <w:tcPr>
            <w:tcW w:w="536"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85</w:t>
            </w:r>
          </w:p>
        </w:tc>
        <w:tc>
          <w:tcPr>
            <w:tcW w:w="66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128</w:t>
            </w:r>
          </w:p>
        </w:tc>
        <w:tc>
          <w:tcPr>
            <w:tcW w:w="992"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280 993</w:t>
            </w:r>
          </w:p>
        </w:tc>
        <w:tc>
          <w:tcPr>
            <w:tcW w:w="567"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111</w:t>
            </w:r>
          </w:p>
        </w:tc>
        <w:tc>
          <w:tcPr>
            <w:tcW w:w="70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349</w:t>
            </w:r>
          </w:p>
        </w:tc>
        <w:tc>
          <w:tcPr>
            <w:tcW w:w="992"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641 960</w:t>
            </w:r>
          </w:p>
        </w:tc>
        <w:tc>
          <w:tcPr>
            <w:tcW w:w="70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580</w:t>
            </w:r>
          </w:p>
        </w:tc>
        <w:tc>
          <w:tcPr>
            <w:tcW w:w="708"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742</w:t>
            </w:r>
          </w:p>
        </w:tc>
        <w:tc>
          <w:tcPr>
            <w:tcW w:w="993"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1 848 975</w:t>
            </w:r>
          </w:p>
        </w:tc>
        <w:tc>
          <w:tcPr>
            <w:tcW w:w="70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565</w:t>
            </w:r>
          </w:p>
        </w:tc>
        <w:tc>
          <w:tcPr>
            <w:tcW w:w="567"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742</w:t>
            </w:r>
          </w:p>
        </w:tc>
        <w:tc>
          <w:tcPr>
            <w:tcW w:w="992"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1 903 456</w:t>
            </w:r>
          </w:p>
        </w:tc>
        <w:tc>
          <w:tcPr>
            <w:tcW w:w="70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550</w:t>
            </w:r>
          </w:p>
        </w:tc>
        <w:tc>
          <w:tcPr>
            <w:tcW w:w="70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724</w:t>
            </w:r>
          </w:p>
        </w:tc>
        <w:tc>
          <w:tcPr>
            <w:tcW w:w="992"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1 929 861</w:t>
            </w:r>
          </w:p>
        </w:tc>
        <w:tc>
          <w:tcPr>
            <w:tcW w:w="70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b/>
                <w:bCs/>
                <w:color w:val="000000"/>
                <w:spacing w:val="0"/>
                <w:sz w:val="16"/>
                <w:szCs w:val="16"/>
              </w:rPr>
            </w:pPr>
            <w:r w:rsidRPr="0031097E">
              <w:rPr>
                <w:rFonts w:eastAsia="Calibri"/>
                <w:b/>
                <w:bCs/>
                <w:color w:val="000000"/>
                <w:spacing w:val="0"/>
                <w:sz w:val="16"/>
                <w:szCs w:val="16"/>
                <w:lang w:eastAsia="en-US"/>
              </w:rPr>
              <w:t>1 891</w:t>
            </w:r>
          </w:p>
        </w:tc>
        <w:tc>
          <w:tcPr>
            <w:tcW w:w="708"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b/>
                <w:bCs/>
                <w:color w:val="000000"/>
                <w:spacing w:val="0"/>
                <w:sz w:val="16"/>
                <w:szCs w:val="16"/>
              </w:rPr>
            </w:pPr>
            <w:r w:rsidRPr="0031097E">
              <w:rPr>
                <w:rFonts w:eastAsia="Calibri"/>
                <w:b/>
                <w:bCs/>
                <w:color w:val="000000"/>
                <w:spacing w:val="0"/>
                <w:sz w:val="16"/>
                <w:szCs w:val="16"/>
                <w:lang w:eastAsia="en-US"/>
              </w:rPr>
              <w:t>2</w:t>
            </w:r>
            <w:r w:rsidRPr="0031097E">
              <w:rPr>
                <w:rFonts w:eastAsia="Calibri"/>
                <w:b/>
                <w:bCs/>
                <w:color w:val="000000"/>
                <w:spacing w:val="0"/>
                <w:sz w:val="16"/>
                <w:szCs w:val="16"/>
                <w:lang w:val="en-US" w:eastAsia="en-US"/>
              </w:rPr>
              <w:t xml:space="preserve"> </w:t>
            </w:r>
            <w:r w:rsidRPr="0031097E">
              <w:rPr>
                <w:rFonts w:eastAsia="Calibri"/>
                <w:b/>
                <w:bCs/>
                <w:color w:val="000000"/>
                <w:spacing w:val="0"/>
                <w:sz w:val="16"/>
                <w:szCs w:val="16"/>
                <w:lang w:eastAsia="en-US"/>
              </w:rPr>
              <w:t>685</w:t>
            </w:r>
          </w:p>
        </w:tc>
        <w:tc>
          <w:tcPr>
            <w:tcW w:w="1134"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b/>
                <w:bCs/>
                <w:color w:val="000000"/>
                <w:spacing w:val="0"/>
                <w:sz w:val="16"/>
                <w:szCs w:val="16"/>
              </w:rPr>
            </w:pPr>
            <w:r w:rsidRPr="0031097E">
              <w:rPr>
                <w:rFonts w:eastAsia="Calibri"/>
                <w:b/>
                <w:bCs/>
                <w:color w:val="000000"/>
                <w:spacing w:val="0"/>
                <w:sz w:val="16"/>
                <w:szCs w:val="16"/>
                <w:lang w:eastAsia="en-US"/>
              </w:rPr>
              <w:t>6 605 245</w:t>
            </w:r>
          </w:p>
        </w:tc>
      </w:tr>
      <w:tr w:rsidR="0031097E" w:rsidRPr="0031097E" w:rsidTr="00D04E56">
        <w:trPr>
          <w:trHeight w:val="498"/>
          <w:jc w:val="center"/>
        </w:trPr>
        <w:tc>
          <w:tcPr>
            <w:tcW w:w="602" w:type="dxa"/>
            <w:tcBorders>
              <w:top w:val="nil"/>
              <w:left w:val="single" w:sz="4" w:space="0" w:color="auto"/>
              <w:bottom w:val="single" w:sz="4" w:space="0" w:color="auto"/>
              <w:right w:val="single" w:sz="4" w:space="0" w:color="auto"/>
            </w:tcBorders>
            <w:noWrap/>
            <w:vAlign w:val="center"/>
            <w:hideMark/>
          </w:tcPr>
          <w:p w:rsidR="0031097E" w:rsidRPr="0031097E" w:rsidRDefault="0031097E" w:rsidP="0031097E">
            <w:pPr>
              <w:spacing w:after="160" w:line="256" w:lineRule="auto"/>
              <w:ind w:right="-249" w:hanging="241"/>
              <w:jc w:val="center"/>
              <w:rPr>
                <w:color w:val="000000"/>
                <w:spacing w:val="0"/>
                <w:sz w:val="16"/>
                <w:szCs w:val="16"/>
              </w:rPr>
            </w:pPr>
            <w:r w:rsidRPr="0031097E">
              <w:rPr>
                <w:color w:val="000000"/>
                <w:spacing w:val="0"/>
                <w:sz w:val="16"/>
                <w:szCs w:val="16"/>
              </w:rPr>
              <w:t>3.</w:t>
            </w:r>
          </w:p>
        </w:tc>
        <w:tc>
          <w:tcPr>
            <w:tcW w:w="1449" w:type="dxa"/>
            <w:tcBorders>
              <w:top w:val="nil"/>
              <w:left w:val="nil"/>
              <w:bottom w:val="single" w:sz="4" w:space="0" w:color="auto"/>
              <w:right w:val="single" w:sz="4" w:space="0" w:color="auto"/>
            </w:tcBorders>
            <w:vAlign w:val="center"/>
            <w:hideMark/>
          </w:tcPr>
          <w:p w:rsidR="0031097E" w:rsidRPr="0031097E" w:rsidRDefault="0031097E" w:rsidP="0031097E">
            <w:pPr>
              <w:jc w:val="both"/>
              <w:rPr>
                <w:rFonts w:eastAsiaTheme="minorHAnsi"/>
                <w:spacing w:val="0"/>
                <w:sz w:val="16"/>
                <w:szCs w:val="16"/>
                <w:lang w:eastAsia="en-US"/>
              </w:rPr>
            </w:pPr>
            <w:proofErr w:type="spellStart"/>
            <w:r w:rsidRPr="0031097E">
              <w:rPr>
                <w:rFonts w:eastAsiaTheme="minorHAnsi"/>
                <w:spacing w:val="0"/>
                <w:sz w:val="16"/>
                <w:szCs w:val="16"/>
                <w:lang w:eastAsia="en-US"/>
              </w:rPr>
              <w:t>Слободзейский</w:t>
            </w:r>
            <w:proofErr w:type="spellEnd"/>
            <w:r w:rsidRPr="0031097E">
              <w:rPr>
                <w:rFonts w:eastAsiaTheme="minorHAnsi"/>
                <w:spacing w:val="0"/>
                <w:sz w:val="16"/>
                <w:szCs w:val="16"/>
                <w:lang w:eastAsia="en-US"/>
              </w:rPr>
              <w:t xml:space="preserve"> район и </w:t>
            </w:r>
          </w:p>
          <w:p w:rsidR="0031097E" w:rsidRPr="0031097E" w:rsidRDefault="0031097E" w:rsidP="0031097E">
            <w:pPr>
              <w:jc w:val="both"/>
              <w:rPr>
                <w:rFonts w:eastAsiaTheme="minorHAnsi"/>
                <w:spacing w:val="0"/>
                <w:sz w:val="16"/>
                <w:szCs w:val="16"/>
                <w:lang w:eastAsia="en-US"/>
              </w:rPr>
            </w:pPr>
            <w:r w:rsidRPr="0031097E">
              <w:rPr>
                <w:rFonts w:eastAsiaTheme="minorHAnsi"/>
                <w:spacing w:val="0"/>
                <w:sz w:val="16"/>
                <w:szCs w:val="16"/>
                <w:lang w:eastAsia="en-US"/>
              </w:rPr>
              <w:t xml:space="preserve">г. </w:t>
            </w:r>
            <w:proofErr w:type="spellStart"/>
            <w:r w:rsidRPr="0031097E">
              <w:rPr>
                <w:rFonts w:eastAsiaTheme="minorHAnsi"/>
                <w:spacing w:val="0"/>
                <w:sz w:val="16"/>
                <w:szCs w:val="16"/>
                <w:lang w:eastAsia="en-US"/>
              </w:rPr>
              <w:t>Слободзея</w:t>
            </w:r>
            <w:proofErr w:type="spellEnd"/>
          </w:p>
          <w:p w:rsidR="0031097E" w:rsidRPr="0031097E" w:rsidRDefault="0031097E" w:rsidP="0031097E">
            <w:pPr>
              <w:jc w:val="both"/>
              <w:rPr>
                <w:rFonts w:eastAsiaTheme="minorHAnsi"/>
                <w:spacing w:val="0"/>
                <w:sz w:val="16"/>
                <w:szCs w:val="16"/>
                <w:lang w:eastAsia="en-US"/>
              </w:rPr>
            </w:pPr>
          </w:p>
        </w:tc>
        <w:tc>
          <w:tcPr>
            <w:tcW w:w="536"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7</w:t>
            </w:r>
          </w:p>
        </w:tc>
        <w:tc>
          <w:tcPr>
            <w:tcW w:w="66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121</w:t>
            </w:r>
          </w:p>
        </w:tc>
        <w:tc>
          <w:tcPr>
            <w:tcW w:w="992"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179 527</w:t>
            </w:r>
          </w:p>
        </w:tc>
        <w:tc>
          <w:tcPr>
            <w:tcW w:w="567"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145</w:t>
            </w:r>
          </w:p>
        </w:tc>
        <w:tc>
          <w:tcPr>
            <w:tcW w:w="70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232</w:t>
            </w:r>
          </w:p>
        </w:tc>
        <w:tc>
          <w:tcPr>
            <w:tcW w:w="992"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512 243</w:t>
            </w:r>
          </w:p>
        </w:tc>
        <w:tc>
          <w:tcPr>
            <w:tcW w:w="70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757</w:t>
            </w:r>
          </w:p>
        </w:tc>
        <w:tc>
          <w:tcPr>
            <w:tcW w:w="708"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470</w:t>
            </w:r>
          </w:p>
        </w:tc>
        <w:tc>
          <w:tcPr>
            <w:tcW w:w="993"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1 657 658</w:t>
            </w:r>
          </w:p>
        </w:tc>
        <w:tc>
          <w:tcPr>
            <w:tcW w:w="70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738</w:t>
            </w:r>
          </w:p>
        </w:tc>
        <w:tc>
          <w:tcPr>
            <w:tcW w:w="567"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486</w:t>
            </w:r>
          </w:p>
        </w:tc>
        <w:tc>
          <w:tcPr>
            <w:tcW w:w="992"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1 724 516</w:t>
            </w:r>
          </w:p>
        </w:tc>
        <w:tc>
          <w:tcPr>
            <w:tcW w:w="70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718</w:t>
            </w:r>
          </w:p>
        </w:tc>
        <w:tc>
          <w:tcPr>
            <w:tcW w:w="70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472</w:t>
            </w:r>
          </w:p>
        </w:tc>
        <w:tc>
          <w:tcPr>
            <w:tcW w:w="992"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lang w:val="en-US"/>
              </w:rPr>
            </w:pPr>
            <w:r w:rsidRPr="0031097E">
              <w:rPr>
                <w:rFonts w:eastAsia="Calibri"/>
                <w:color w:val="000000"/>
                <w:spacing w:val="0"/>
                <w:sz w:val="16"/>
                <w:szCs w:val="16"/>
                <w:lang w:eastAsia="en-US"/>
              </w:rPr>
              <w:t>1 743 56</w:t>
            </w:r>
            <w:r w:rsidRPr="0031097E">
              <w:rPr>
                <w:rFonts w:eastAsia="Calibri"/>
                <w:color w:val="000000"/>
                <w:spacing w:val="0"/>
                <w:sz w:val="16"/>
                <w:szCs w:val="16"/>
                <w:lang w:val="en-US" w:eastAsia="en-US"/>
              </w:rPr>
              <w:t>8</w:t>
            </w:r>
          </w:p>
        </w:tc>
        <w:tc>
          <w:tcPr>
            <w:tcW w:w="70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b/>
                <w:bCs/>
                <w:color w:val="000000"/>
                <w:spacing w:val="0"/>
                <w:sz w:val="16"/>
                <w:szCs w:val="16"/>
              </w:rPr>
            </w:pPr>
            <w:r w:rsidRPr="0031097E">
              <w:rPr>
                <w:rFonts w:eastAsia="Calibri"/>
                <w:b/>
                <w:bCs/>
                <w:color w:val="000000"/>
                <w:spacing w:val="0"/>
                <w:sz w:val="16"/>
                <w:szCs w:val="16"/>
                <w:lang w:eastAsia="en-US"/>
              </w:rPr>
              <w:t>2 365</w:t>
            </w:r>
          </w:p>
        </w:tc>
        <w:tc>
          <w:tcPr>
            <w:tcW w:w="708"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b/>
                <w:bCs/>
                <w:color w:val="000000"/>
                <w:spacing w:val="0"/>
                <w:sz w:val="16"/>
                <w:szCs w:val="16"/>
              </w:rPr>
            </w:pPr>
            <w:r w:rsidRPr="0031097E">
              <w:rPr>
                <w:rFonts w:eastAsia="Calibri"/>
                <w:b/>
                <w:bCs/>
                <w:color w:val="000000"/>
                <w:spacing w:val="0"/>
                <w:sz w:val="16"/>
                <w:szCs w:val="16"/>
                <w:lang w:eastAsia="en-US"/>
              </w:rPr>
              <w:t>1</w:t>
            </w:r>
            <w:r w:rsidRPr="0031097E">
              <w:rPr>
                <w:rFonts w:eastAsia="Calibri"/>
                <w:b/>
                <w:bCs/>
                <w:color w:val="000000"/>
                <w:spacing w:val="0"/>
                <w:sz w:val="16"/>
                <w:szCs w:val="16"/>
                <w:lang w:val="en-US" w:eastAsia="en-US"/>
              </w:rPr>
              <w:t xml:space="preserve"> </w:t>
            </w:r>
            <w:r w:rsidRPr="0031097E">
              <w:rPr>
                <w:rFonts w:eastAsia="Calibri"/>
                <w:b/>
                <w:bCs/>
                <w:color w:val="000000"/>
                <w:spacing w:val="0"/>
                <w:sz w:val="16"/>
                <w:szCs w:val="16"/>
                <w:lang w:eastAsia="en-US"/>
              </w:rPr>
              <w:t>781</w:t>
            </w:r>
          </w:p>
        </w:tc>
        <w:tc>
          <w:tcPr>
            <w:tcW w:w="1134"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b/>
                <w:bCs/>
                <w:color w:val="000000"/>
                <w:spacing w:val="0"/>
                <w:sz w:val="16"/>
                <w:szCs w:val="16"/>
              </w:rPr>
            </w:pPr>
            <w:r w:rsidRPr="0031097E">
              <w:rPr>
                <w:rFonts w:eastAsia="Calibri"/>
                <w:b/>
                <w:bCs/>
                <w:color w:val="000000"/>
                <w:spacing w:val="0"/>
                <w:sz w:val="16"/>
                <w:szCs w:val="16"/>
                <w:lang w:eastAsia="en-US"/>
              </w:rPr>
              <w:t>5 817 511</w:t>
            </w:r>
          </w:p>
        </w:tc>
      </w:tr>
      <w:tr w:rsidR="0031097E" w:rsidRPr="0031097E" w:rsidTr="00D04E56">
        <w:trPr>
          <w:trHeight w:val="249"/>
          <w:jc w:val="center"/>
        </w:trPr>
        <w:tc>
          <w:tcPr>
            <w:tcW w:w="602" w:type="dxa"/>
            <w:tcBorders>
              <w:top w:val="nil"/>
              <w:left w:val="single" w:sz="4" w:space="0" w:color="auto"/>
              <w:bottom w:val="single" w:sz="4" w:space="0" w:color="auto"/>
              <w:right w:val="single" w:sz="4" w:space="0" w:color="auto"/>
            </w:tcBorders>
            <w:noWrap/>
            <w:vAlign w:val="center"/>
            <w:hideMark/>
          </w:tcPr>
          <w:p w:rsidR="0031097E" w:rsidRPr="0031097E" w:rsidRDefault="0031097E" w:rsidP="0031097E">
            <w:pPr>
              <w:spacing w:after="160" w:line="256" w:lineRule="auto"/>
              <w:ind w:right="-249" w:hanging="241"/>
              <w:jc w:val="center"/>
              <w:rPr>
                <w:color w:val="000000"/>
                <w:spacing w:val="0"/>
                <w:sz w:val="16"/>
                <w:szCs w:val="16"/>
              </w:rPr>
            </w:pPr>
            <w:r w:rsidRPr="0031097E">
              <w:rPr>
                <w:color w:val="000000"/>
                <w:spacing w:val="0"/>
                <w:sz w:val="16"/>
                <w:szCs w:val="16"/>
              </w:rPr>
              <w:t>4.</w:t>
            </w:r>
          </w:p>
        </w:tc>
        <w:tc>
          <w:tcPr>
            <w:tcW w:w="1449" w:type="dxa"/>
            <w:tcBorders>
              <w:top w:val="nil"/>
              <w:left w:val="nil"/>
              <w:bottom w:val="single" w:sz="4" w:space="0" w:color="auto"/>
              <w:right w:val="single" w:sz="4" w:space="0" w:color="auto"/>
            </w:tcBorders>
            <w:vAlign w:val="center"/>
            <w:hideMark/>
          </w:tcPr>
          <w:p w:rsidR="0031097E" w:rsidRPr="0031097E" w:rsidRDefault="0031097E" w:rsidP="0031097E">
            <w:pPr>
              <w:spacing w:after="160" w:line="256" w:lineRule="auto"/>
              <w:rPr>
                <w:color w:val="000000"/>
                <w:spacing w:val="0"/>
                <w:sz w:val="16"/>
                <w:szCs w:val="16"/>
              </w:rPr>
            </w:pPr>
            <w:r w:rsidRPr="0031097E">
              <w:rPr>
                <w:color w:val="000000"/>
                <w:spacing w:val="0"/>
                <w:sz w:val="16"/>
                <w:szCs w:val="16"/>
              </w:rPr>
              <w:t xml:space="preserve">г. </w:t>
            </w:r>
            <w:proofErr w:type="spellStart"/>
            <w:r w:rsidRPr="0031097E">
              <w:rPr>
                <w:color w:val="000000"/>
                <w:spacing w:val="0"/>
                <w:sz w:val="16"/>
                <w:szCs w:val="16"/>
              </w:rPr>
              <w:t>Днестровск</w:t>
            </w:r>
            <w:proofErr w:type="spellEnd"/>
          </w:p>
        </w:tc>
        <w:tc>
          <w:tcPr>
            <w:tcW w:w="536"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26</w:t>
            </w:r>
          </w:p>
        </w:tc>
        <w:tc>
          <w:tcPr>
            <w:tcW w:w="66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28</w:t>
            </w:r>
          </w:p>
        </w:tc>
        <w:tc>
          <w:tcPr>
            <w:tcW w:w="992"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70 161</w:t>
            </w:r>
          </w:p>
        </w:tc>
        <w:tc>
          <w:tcPr>
            <w:tcW w:w="567"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8</w:t>
            </w:r>
          </w:p>
        </w:tc>
        <w:tc>
          <w:tcPr>
            <w:tcW w:w="70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15</w:t>
            </w:r>
          </w:p>
        </w:tc>
        <w:tc>
          <w:tcPr>
            <w:tcW w:w="992"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31 468</w:t>
            </w:r>
          </w:p>
        </w:tc>
        <w:tc>
          <w:tcPr>
            <w:tcW w:w="70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39</w:t>
            </w:r>
          </w:p>
        </w:tc>
        <w:tc>
          <w:tcPr>
            <w:tcW w:w="708"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30</w:t>
            </w:r>
          </w:p>
        </w:tc>
        <w:tc>
          <w:tcPr>
            <w:tcW w:w="993"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94 172</w:t>
            </w:r>
          </w:p>
        </w:tc>
        <w:tc>
          <w:tcPr>
            <w:tcW w:w="70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37</w:t>
            </w:r>
          </w:p>
        </w:tc>
        <w:tc>
          <w:tcPr>
            <w:tcW w:w="567"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34</w:t>
            </w:r>
          </w:p>
        </w:tc>
        <w:tc>
          <w:tcPr>
            <w:tcW w:w="992"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101 648</w:t>
            </w:r>
          </w:p>
        </w:tc>
        <w:tc>
          <w:tcPr>
            <w:tcW w:w="70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35</w:t>
            </w:r>
          </w:p>
        </w:tc>
        <w:tc>
          <w:tcPr>
            <w:tcW w:w="70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34</w:t>
            </w:r>
          </w:p>
        </w:tc>
        <w:tc>
          <w:tcPr>
            <w:tcW w:w="992"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103 015</w:t>
            </w:r>
          </w:p>
        </w:tc>
        <w:tc>
          <w:tcPr>
            <w:tcW w:w="70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b/>
                <w:bCs/>
                <w:color w:val="000000"/>
                <w:spacing w:val="0"/>
                <w:sz w:val="16"/>
                <w:szCs w:val="16"/>
              </w:rPr>
            </w:pPr>
            <w:r w:rsidRPr="0031097E">
              <w:rPr>
                <w:rFonts w:eastAsia="Calibri"/>
                <w:b/>
                <w:bCs/>
                <w:color w:val="000000"/>
                <w:spacing w:val="0"/>
                <w:sz w:val="16"/>
                <w:szCs w:val="16"/>
                <w:lang w:eastAsia="en-US"/>
              </w:rPr>
              <w:t>145</w:t>
            </w:r>
          </w:p>
        </w:tc>
        <w:tc>
          <w:tcPr>
            <w:tcW w:w="708"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b/>
                <w:bCs/>
                <w:color w:val="000000"/>
                <w:spacing w:val="0"/>
                <w:sz w:val="16"/>
                <w:szCs w:val="16"/>
              </w:rPr>
            </w:pPr>
            <w:r w:rsidRPr="0031097E">
              <w:rPr>
                <w:rFonts w:eastAsia="Calibri"/>
                <w:b/>
                <w:bCs/>
                <w:color w:val="000000"/>
                <w:spacing w:val="0"/>
                <w:sz w:val="16"/>
                <w:szCs w:val="16"/>
                <w:lang w:eastAsia="en-US"/>
              </w:rPr>
              <w:t>141</w:t>
            </w:r>
          </w:p>
        </w:tc>
        <w:tc>
          <w:tcPr>
            <w:tcW w:w="1134"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b/>
                <w:bCs/>
                <w:color w:val="000000"/>
                <w:spacing w:val="0"/>
                <w:sz w:val="16"/>
                <w:szCs w:val="16"/>
              </w:rPr>
            </w:pPr>
            <w:r w:rsidRPr="0031097E">
              <w:rPr>
                <w:rFonts w:eastAsia="Calibri"/>
                <w:b/>
                <w:bCs/>
                <w:color w:val="000000"/>
                <w:spacing w:val="0"/>
                <w:sz w:val="16"/>
                <w:szCs w:val="16"/>
                <w:lang w:eastAsia="en-US"/>
              </w:rPr>
              <w:t>400 464</w:t>
            </w:r>
          </w:p>
        </w:tc>
      </w:tr>
      <w:tr w:rsidR="0031097E" w:rsidRPr="0031097E" w:rsidTr="00D04E56">
        <w:trPr>
          <w:trHeight w:val="498"/>
          <w:jc w:val="center"/>
        </w:trPr>
        <w:tc>
          <w:tcPr>
            <w:tcW w:w="602" w:type="dxa"/>
            <w:tcBorders>
              <w:top w:val="nil"/>
              <w:left w:val="single" w:sz="4" w:space="0" w:color="auto"/>
              <w:bottom w:val="single" w:sz="4" w:space="0" w:color="auto"/>
              <w:right w:val="single" w:sz="4" w:space="0" w:color="auto"/>
            </w:tcBorders>
            <w:noWrap/>
            <w:vAlign w:val="center"/>
            <w:hideMark/>
          </w:tcPr>
          <w:p w:rsidR="0031097E" w:rsidRPr="0031097E" w:rsidRDefault="0031097E" w:rsidP="0031097E">
            <w:pPr>
              <w:spacing w:after="160" w:line="256" w:lineRule="auto"/>
              <w:ind w:right="-249" w:hanging="241"/>
              <w:jc w:val="center"/>
              <w:rPr>
                <w:color w:val="000000"/>
                <w:spacing w:val="0"/>
                <w:sz w:val="16"/>
                <w:szCs w:val="16"/>
              </w:rPr>
            </w:pPr>
            <w:r w:rsidRPr="0031097E">
              <w:rPr>
                <w:color w:val="000000"/>
                <w:spacing w:val="0"/>
                <w:sz w:val="16"/>
                <w:szCs w:val="16"/>
              </w:rPr>
              <w:t>5.</w:t>
            </w:r>
          </w:p>
        </w:tc>
        <w:tc>
          <w:tcPr>
            <w:tcW w:w="1449" w:type="dxa"/>
            <w:tcBorders>
              <w:top w:val="nil"/>
              <w:left w:val="nil"/>
              <w:bottom w:val="single" w:sz="4" w:space="0" w:color="auto"/>
              <w:right w:val="single" w:sz="4" w:space="0" w:color="auto"/>
            </w:tcBorders>
            <w:vAlign w:val="center"/>
            <w:hideMark/>
          </w:tcPr>
          <w:p w:rsidR="0031097E" w:rsidRPr="0031097E" w:rsidRDefault="0031097E" w:rsidP="0031097E">
            <w:pPr>
              <w:spacing w:after="160" w:line="256" w:lineRule="auto"/>
              <w:ind w:right="-271" w:hanging="94"/>
              <w:rPr>
                <w:color w:val="000000"/>
                <w:spacing w:val="0"/>
                <w:sz w:val="16"/>
                <w:szCs w:val="16"/>
              </w:rPr>
            </w:pPr>
            <w:r w:rsidRPr="0031097E">
              <w:rPr>
                <w:color w:val="000000"/>
                <w:spacing w:val="0"/>
                <w:sz w:val="16"/>
                <w:szCs w:val="16"/>
              </w:rPr>
              <w:t xml:space="preserve">  </w:t>
            </w:r>
            <w:proofErr w:type="spellStart"/>
            <w:r w:rsidRPr="0031097E">
              <w:rPr>
                <w:color w:val="000000"/>
                <w:spacing w:val="0"/>
                <w:sz w:val="16"/>
                <w:szCs w:val="16"/>
              </w:rPr>
              <w:t>Григориопольский</w:t>
            </w:r>
            <w:proofErr w:type="spellEnd"/>
            <w:r w:rsidRPr="0031097E">
              <w:rPr>
                <w:color w:val="000000"/>
                <w:spacing w:val="0"/>
                <w:sz w:val="16"/>
                <w:szCs w:val="16"/>
              </w:rPr>
              <w:t xml:space="preserve"> район и </w:t>
            </w:r>
            <w:r w:rsidRPr="0031097E">
              <w:rPr>
                <w:color w:val="000000"/>
                <w:spacing w:val="0"/>
                <w:sz w:val="16"/>
                <w:szCs w:val="16"/>
              </w:rPr>
              <w:br/>
              <w:t>г. Григориополь</w:t>
            </w:r>
          </w:p>
        </w:tc>
        <w:tc>
          <w:tcPr>
            <w:tcW w:w="536"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33</w:t>
            </w:r>
          </w:p>
        </w:tc>
        <w:tc>
          <w:tcPr>
            <w:tcW w:w="66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64</w:t>
            </w:r>
          </w:p>
        </w:tc>
        <w:tc>
          <w:tcPr>
            <w:tcW w:w="992"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129 346</w:t>
            </w:r>
          </w:p>
        </w:tc>
        <w:tc>
          <w:tcPr>
            <w:tcW w:w="567"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85</w:t>
            </w:r>
          </w:p>
        </w:tc>
        <w:tc>
          <w:tcPr>
            <w:tcW w:w="70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61</w:t>
            </w:r>
          </w:p>
        </w:tc>
        <w:tc>
          <w:tcPr>
            <w:tcW w:w="992"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190 962</w:t>
            </w:r>
          </w:p>
        </w:tc>
        <w:tc>
          <w:tcPr>
            <w:tcW w:w="70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446</w:t>
            </w:r>
          </w:p>
        </w:tc>
        <w:tc>
          <w:tcPr>
            <w:tcW w:w="708"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128</w:t>
            </w:r>
          </w:p>
        </w:tc>
        <w:tc>
          <w:tcPr>
            <w:tcW w:w="993"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750 910</w:t>
            </w:r>
          </w:p>
        </w:tc>
        <w:tc>
          <w:tcPr>
            <w:tcW w:w="70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434</w:t>
            </w:r>
          </w:p>
        </w:tc>
        <w:tc>
          <w:tcPr>
            <w:tcW w:w="567"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130</w:t>
            </w:r>
          </w:p>
        </w:tc>
        <w:tc>
          <w:tcPr>
            <w:tcW w:w="992"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768 517</w:t>
            </w:r>
          </w:p>
        </w:tc>
        <w:tc>
          <w:tcPr>
            <w:tcW w:w="70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422</w:t>
            </w:r>
          </w:p>
        </w:tc>
        <w:tc>
          <w:tcPr>
            <w:tcW w:w="70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125</w:t>
            </w:r>
          </w:p>
        </w:tc>
        <w:tc>
          <w:tcPr>
            <w:tcW w:w="992"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774 870</w:t>
            </w:r>
          </w:p>
        </w:tc>
        <w:tc>
          <w:tcPr>
            <w:tcW w:w="70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b/>
                <w:bCs/>
                <w:color w:val="000000"/>
                <w:spacing w:val="0"/>
                <w:sz w:val="16"/>
                <w:szCs w:val="16"/>
              </w:rPr>
            </w:pPr>
            <w:r w:rsidRPr="0031097E">
              <w:rPr>
                <w:rFonts w:eastAsia="Calibri"/>
                <w:b/>
                <w:bCs/>
                <w:color w:val="000000"/>
                <w:spacing w:val="0"/>
                <w:sz w:val="16"/>
                <w:szCs w:val="16"/>
                <w:lang w:eastAsia="en-US"/>
              </w:rPr>
              <w:t>1 420</w:t>
            </w:r>
          </w:p>
        </w:tc>
        <w:tc>
          <w:tcPr>
            <w:tcW w:w="708"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b/>
                <w:bCs/>
                <w:color w:val="000000"/>
                <w:spacing w:val="0"/>
                <w:sz w:val="16"/>
                <w:szCs w:val="16"/>
              </w:rPr>
            </w:pPr>
            <w:r w:rsidRPr="0031097E">
              <w:rPr>
                <w:rFonts w:eastAsia="Calibri"/>
                <w:b/>
                <w:bCs/>
                <w:color w:val="000000"/>
                <w:spacing w:val="0"/>
                <w:sz w:val="16"/>
                <w:szCs w:val="16"/>
                <w:lang w:eastAsia="en-US"/>
              </w:rPr>
              <w:t>508</w:t>
            </w:r>
          </w:p>
        </w:tc>
        <w:tc>
          <w:tcPr>
            <w:tcW w:w="1134"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b/>
                <w:bCs/>
                <w:color w:val="000000"/>
                <w:spacing w:val="0"/>
                <w:sz w:val="16"/>
                <w:szCs w:val="16"/>
              </w:rPr>
            </w:pPr>
            <w:r w:rsidRPr="0031097E">
              <w:rPr>
                <w:rFonts w:eastAsia="Calibri"/>
                <w:b/>
                <w:bCs/>
                <w:color w:val="000000"/>
                <w:spacing w:val="0"/>
                <w:sz w:val="16"/>
                <w:szCs w:val="16"/>
                <w:lang w:eastAsia="en-US"/>
              </w:rPr>
              <w:t>2 614 605</w:t>
            </w:r>
          </w:p>
        </w:tc>
      </w:tr>
      <w:tr w:rsidR="0031097E" w:rsidRPr="0031097E" w:rsidTr="00D04E56">
        <w:trPr>
          <w:trHeight w:val="498"/>
          <w:jc w:val="center"/>
        </w:trPr>
        <w:tc>
          <w:tcPr>
            <w:tcW w:w="602" w:type="dxa"/>
            <w:tcBorders>
              <w:top w:val="nil"/>
              <w:left w:val="single" w:sz="4" w:space="0" w:color="auto"/>
              <w:bottom w:val="single" w:sz="4" w:space="0" w:color="auto"/>
              <w:right w:val="single" w:sz="4" w:space="0" w:color="auto"/>
            </w:tcBorders>
            <w:noWrap/>
            <w:vAlign w:val="center"/>
            <w:hideMark/>
          </w:tcPr>
          <w:p w:rsidR="0031097E" w:rsidRPr="0031097E" w:rsidRDefault="0031097E" w:rsidP="0031097E">
            <w:pPr>
              <w:spacing w:after="160" w:line="256" w:lineRule="auto"/>
              <w:ind w:right="-249" w:hanging="241"/>
              <w:jc w:val="center"/>
              <w:rPr>
                <w:color w:val="000000"/>
                <w:spacing w:val="0"/>
                <w:sz w:val="16"/>
                <w:szCs w:val="16"/>
              </w:rPr>
            </w:pPr>
            <w:r w:rsidRPr="0031097E">
              <w:rPr>
                <w:color w:val="000000"/>
                <w:spacing w:val="0"/>
                <w:sz w:val="16"/>
                <w:szCs w:val="16"/>
              </w:rPr>
              <w:t>6.</w:t>
            </w:r>
          </w:p>
        </w:tc>
        <w:tc>
          <w:tcPr>
            <w:tcW w:w="1449" w:type="dxa"/>
            <w:tcBorders>
              <w:top w:val="nil"/>
              <w:left w:val="nil"/>
              <w:bottom w:val="single" w:sz="4" w:space="0" w:color="auto"/>
              <w:right w:val="single" w:sz="4" w:space="0" w:color="auto"/>
            </w:tcBorders>
            <w:vAlign w:val="center"/>
            <w:hideMark/>
          </w:tcPr>
          <w:p w:rsidR="0031097E" w:rsidRPr="0031097E" w:rsidRDefault="0031097E" w:rsidP="0031097E">
            <w:pPr>
              <w:spacing w:after="160" w:line="256" w:lineRule="auto"/>
              <w:rPr>
                <w:color w:val="000000"/>
                <w:spacing w:val="0"/>
                <w:sz w:val="16"/>
                <w:szCs w:val="16"/>
              </w:rPr>
            </w:pPr>
            <w:proofErr w:type="spellStart"/>
            <w:r w:rsidRPr="0031097E">
              <w:rPr>
                <w:color w:val="000000"/>
                <w:spacing w:val="0"/>
                <w:sz w:val="16"/>
                <w:szCs w:val="16"/>
              </w:rPr>
              <w:t>Дубоссарский</w:t>
            </w:r>
            <w:proofErr w:type="spellEnd"/>
            <w:r w:rsidRPr="0031097E">
              <w:rPr>
                <w:color w:val="000000"/>
                <w:spacing w:val="0"/>
                <w:sz w:val="16"/>
                <w:szCs w:val="16"/>
              </w:rPr>
              <w:t xml:space="preserve"> район и </w:t>
            </w:r>
            <w:r w:rsidRPr="0031097E">
              <w:rPr>
                <w:color w:val="000000"/>
                <w:spacing w:val="0"/>
                <w:sz w:val="16"/>
                <w:szCs w:val="16"/>
              </w:rPr>
              <w:br/>
              <w:t>г. Дубоссары</w:t>
            </w:r>
          </w:p>
        </w:tc>
        <w:tc>
          <w:tcPr>
            <w:tcW w:w="536"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22</w:t>
            </w:r>
          </w:p>
        </w:tc>
        <w:tc>
          <w:tcPr>
            <w:tcW w:w="66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82</w:t>
            </w:r>
          </w:p>
        </w:tc>
        <w:tc>
          <w:tcPr>
            <w:tcW w:w="992"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141 918</w:t>
            </w:r>
          </w:p>
        </w:tc>
        <w:tc>
          <w:tcPr>
            <w:tcW w:w="567"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28</w:t>
            </w:r>
          </w:p>
        </w:tc>
        <w:tc>
          <w:tcPr>
            <w:tcW w:w="70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350</w:t>
            </w:r>
          </w:p>
        </w:tc>
        <w:tc>
          <w:tcPr>
            <w:tcW w:w="992"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543 769</w:t>
            </w:r>
          </w:p>
        </w:tc>
        <w:tc>
          <w:tcPr>
            <w:tcW w:w="70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145</w:t>
            </w:r>
          </w:p>
        </w:tc>
        <w:tc>
          <w:tcPr>
            <w:tcW w:w="708"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762</w:t>
            </w:r>
          </w:p>
        </w:tc>
        <w:tc>
          <w:tcPr>
            <w:tcW w:w="993"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1 336 150</w:t>
            </w:r>
          </w:p>
        </w:tc>
        <w:tc>
          <w:tcPr>
            <w:tcW w:w="70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141</w:t>
            </w:r>
          </w:p>
        </w:tc>
        <w:tc>
          <w:tcPr>
            <w:tcW w:w="567"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754</w:t>
            </w:r>
          </w:p>
        </w:tc>
        <w:tc>
          <w:tcPr>
            <w:tcW w:w="992"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1 371 790</w:t>
            </w:r>
          </w:p>
        </w:tc>
        <w:tc>
          <w:tcPr>
            <w:tcW w:w="70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136</w:t>
            </w:r>
          </w:p>
        </w:tc>
        <w:tc>
          <w:tcPr>
            <w:tcW w:w="70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732</w:t>
            </w:r>
          </w:p>
        </w:tc>
        <w:tc>
          <w:tcPr>
            <w:tcW w:w="992"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1 383 864</w:t>
            </w:r>
          </w:p>
        </w:tc>
        <w:tc>
          <w:tcPr>
            <w:tcW w:w="70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b/>
                <w:bCs/>
                <w:color w:val="000000"/>
                <w:spacing w:val="0"/>
                <w:sz w:val="16"/>
                <w:szCs w:val="16"/>
              </w:rPr>
            </w:pPr>
            <w:r w:rsidRPr="0031097E">
              <w:rPr>
                <w:rFonts w:eastAsia="Calibri"/>
                <w:b/>
                <w:bCs/>
                <w:color w:val="000000"/>
                <w:spacing w:val="0"/>
                <w:sz w:val="16"/>
                <w:szCs w:val="16"/>
                <w:lang w:eastAsia="en-US"/>
              </w:rPr>
              <w:t>472</w:t>
            </w:r>
          </w:p>
        </w:tc>
        <w:tc>
          <w:tcPr>
            <w:tcW w:w="708"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b/>
                <w:bCs/>
                <w:color w:val="000000"/>
                <w:spacing w:val="0"/>
                <w:sz w:val="16"/>
                <w:szCs w:val="16"/>
              </w:rPr>
            </w:pPr>
            <w:r w:rsidRPr="0031097E">
              <w:rPr>
                <w:rFonts w:eastAsia="Calibri"/>
                <w:b/>
                <w:bCs/>
                <w:color w:val="000000"/>
                <w:spacing w:val="0"/>
                <w:sz w:val="16"/>
                <w:szCs w:val="16"/>
                <w:lang w:eastAsia="en-US"/>
              </w:rPr>
              <w:t>2</w:t>
            </w:r>
            <w:r w:rsidRPr="0031097E">
              <w:rPr>
                <w:rFonts w:eastAsia="Calibri"/>
                <w:b/>
                <w:bCs/>
                <w:color w:val="000000"/>
                <w:spacing w:val="0"/>
                <w:sz w:val="16"/>
                <w:szCs w:val="16"/>
                <w:lang w:val="en-US" w:eastAsia="en-US"/>
              </w:rPr>
              <w:t xml:space="preserve"> </w:t>
            </w:r>
            <w:r w:rsidRPr="0031097E">
              <w:rPr>
                <w:rFonts w:eastAsia="Calibri"/>
                <w:b/>
                <w:bCs/>
                <w:color w:val="000000"/>
                <w:spacing w:val="0"/>
                <w:sz w:val="16"/>
                <w:szCs w:val="16"/>
                <w:lang w:eastAsia="en-US"/>
              </w:rPr>
              <w:t>680</w:t>
            </w:r>
          </w:p>
        </w:tc>
        <w:tc>
          <w:tcPr>
            <w:tcW w:w="1134"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b/>
                <w:bCs/>
                <w:color w:val="000000"/>
                <w:spacing w:val="0"/>
                <w:sz w:val="16"/>
                <w:szCs w:val="16"/>
                <w:lang w:val="en-US"/>
              </w:rPr>
            </w:pPr>
            <w:r w:rsidRPr="0031097E">
              <w:rPr>
                <w:rFonts w:eastAsia="Calibri"/>
                <w:b/>
                <w:bCs/>
                <w:color w:val="000000"/>
                <w:spacing w:val="0"/>
                <w:sz w:val="16"/>
                <w:szCs w:val="16"/>
                <w:lang w:eastAsia="en-US"/>
              </w:rPr>
              <w:t>4 777 49</w:t>
            </w:r>
            <w:r w:rsidRPr="0031097E">
              <w:rPr>
                <w:rFonts w:eastAsia="Calibri"/>
                <w:b/>
                <w:bCs/>
                <w:color w:val="000000"/>
                <w:spacing w:val="0"/>
                <w:sz w:val="16"/>
                <w:szCs w:val="16"/>
                <w:lang w:val="en-US" w:eastAsia="en-US"/>
              </w:rPr>
              <w:t>2</w:t>
            </w:r>
          </w:p>
        </w:tc>
      </w:tr>
      <w:tr w:rsidR="0031097E" w:rsidRPr="0031097E" w:rsidTr="00D04E56">
        <w:trPr>
          <w:trHeight w:val="498"/>
          <w:jc w:val="center"/>
        </w:trPr>
        <w:tc>
          <w:tcPr>
            <w:tcW w:w="602" w:type="dxa"/>
            <w:tcBorders>
              <w:top w:val="nil"/>
              <w:left w:val="single" w:sz="4" w:space="0" w:color="auto"/>
              <w:bottom w:val="single" w:sz="4" w:space="0" w:color="auto"/>
              <w:right w:val="single" w:sz="4" w:space="0" w:color="auto"/>
            </w:tcBorders>
            <w:noWrap/>
            <w:vAlign w:val="center"/>
            <w:hideMark/>
          </w:tcPr>
          <w:p w:rsidR="0031097E" w:rsidRPr="0031097E" w:rsidRDefault="0031097E" w:rsidP="0031097E">
            <w:pPr>
              <w:spacing w:after="160" w:line="256" w:lineRule="auto"/>
              <w:ind w:right="-249" w:hanging="241"/>
              <w:jc w:val="center"/>
              <w:rPr>
                <w:color w:val="000000"/>
                <w:spacing w:val="0"/>
                <w:sz w:val="16"/>
                <w:szCs w:val="16"/>
              </w:rPr>
            </w:pPr>
            <w:r w:rsidRPr="0031097E">
              <w:rPr>
                <w:color w:val="000000"/>
                <w:spacing w:val="0"/>
                <w:sz w:val="16"/>
                <w:szCs w:val="16"/>
              </w:rPr>
              <w:t>7.</w:t>
            </w:r>
          </w:p>
        </w:tc>
        <w:tc>
          <w:tcPr>
            <w:tcW w:w="1449" w:type="dxa"/>
            <w:tcBorders>
              <w:top w:val="nil"/>
              <w:left w:val="nil"/>
              <w:bottom w:val="single" w:sz="4" w:space="0" w:color="auto"/>
              <w:right w:val="single" w:sz="4" w:space="0" w:color="auto"/>
            </w:tcBorders>
            <w:vAlign w:val="center"/>
            <w:hideMark/>
          </w:tcPr>
          <w:p w:rsidR="0031097E" w:rsidRPr="0031097E" w:rsidRDefault="0031097E" w:rsidP="0031097E">
            <w:pPr>
              <w:spacing w:after="160" w:line="256" w:lineRule="auto"/>
              <w:rPr>
                <w:color w:val="000000"/>
                <w:spacing w:val="0"/>
                <w:sz w:val="16"/>
                <w:szCs w:val="16"/>
              </w:rPr>
            </w:pPr>
            <w:proofErr w:type="spellStart"/>
            <w:r w:rsidRPr="0031097E">
              <w:rPr>
                <w:color w:val="000000"/>
                <w:spacing w:val="0"/>
                <w:sz w:val="16"/>
                <w:szCs w:val="16"/>
              </w:rPr>
              <w:t>Рыбницкий</w:t>
            </w:r>
            <w:proofErr w:type="spellEnd"/>
            <w:r w:rsidRPr="0031097E">
              <w:rPr>
                <w:color w:val="000000"/>
                <w:spacing w:val="0"/>
                <w:sz w:val="16"/>
                <w:szCs w:val="16"/>
              </w:rPr>
              <w:t xml:space="preserve"> район и г. Рыбница</w:t>
            </w:r>
          </w:p>
        </w:tc>
        <w:tc>
          <w:tcPr>
            <w:tcW w:w="536"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102</w:t>
            </w:r>
          </w:p>
        </w:tc>
        <w:tc>
          <w:tcPr>
            <w:tcW w:w="66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143</w:t>
            </w:r>
          </w:p>
        </w:tc>
        <w:tc>
          <w:tcPr>
            <w:tcW w:w="992"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322 185</w:t>
            </w:r>
          </w:p>
        </w:tc>
        <w:tc>
          <w:tcPr>
            <w:tcW w:w="567"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81</w:t>
            </w:r>
          </w:p>
        </w:tc>
        <w:tc>
          <w:tcPr>
            <w:tcW w:w="70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394</w:t>
            </w:r>
          </w:p>
        </w:tc>
        <w:tc>
          <w:tcPr>
            <w:tcW w:w="992"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671 534</w:t>
            </w:r>
          </w:p>
        </w:tc>
        <w:tc>
          <w:tcPr>
            <w:tcW w:w="70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423</w:t>
            </w:r>
          </w:p>
        </w:tc>
        <w:tc>
          <w:tcPr>
            <w:tcW w:w="708"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853</w:t>
            </w:r>
          </w:p>
        </w:tc>
        <w:tc>
          <w:tcPr>
            <w:tcW w:w="993"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1 821 208</w:t>
            </w:r>
          </w:p>
        </w:tc>
        <w:tc>
          <w:tcPr>
            <w:tcW w:w="70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412</w:t>
            </w:r>
          </w:p>
        </w:tc>
        <w:tc>
          <w:tcPr>
            <w:tcW w:w="567"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848</w:t>
            </w:r>
          </w:p>
        </w:tc>
        <w:tc>
          <w:tcPr>
            <w:tcW w:w="992"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1 871 889</w:t>
            </w:r>
          </w:p>
        </w:tc>
        <w:tc>
          <w:tcPr>
            <w:tcW w:w="70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402</w:t>
            </w:r>
          </w:p>
        </w:tc>
        <w:tc>
          <w:tcPr>
            <w:tcW w:w="70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825</w:t>
            </w:r>
          </w:p>
        </w:tc>
        <w:tc>
          <w:tcPr>
            <w:tcW w:w="992"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lang w:val="en-US"/>
              </w:rPr>
            </w:pPr>
            <w:r w:rsidRPr="0031097E">
              <w:rPr>
                <w:rFonts w:eastAsia="Calibri"/>
                <w:color w:val="000000"/>
                <w:spacing w:val="0"/>
                <w:sz w:val="16"/>
                <w:szCs w:val="16"/>
                <w:lang w:eastAsia="en-US"/>
              </w:rPr>
              <w:t>1 895 58</w:t>
            </w:r>
            <w:r w:rsidRPr="0031097E">
              <w:rPr>
                <w:rFonts w:eastAsia="Calibri"/>
                <w:color w:val="000000"/>
                <w:spacing w:val="0"/>
                <w:sz w:val="16"/>
                <w:szCs w:val="16"/>
                <w:lang w:val="en-US" w:eastAsia="en-US"/>
              </w:rPr>
              <w:t>5</w:t>
            </w:r>
          </w:p>
        </w:tc>
        <w:tc>
          <w:tcPr>
            <w:tcW w:w="70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b/>
                <w:bCs/>
                <w:color w:val="000000"/>
                <w:spacing w:val="0"/>
                <w:sz w:val="16"/>
                <w:szCs w:val="16"/>
              </w:rPr>
            </w:pPr>
            <w:r w:rsidRPr="0031097E">
              <w:rPr>
                <w:rFonts w:eastAsia="Calibri"/>
                <w:b/>
                <w:bCs/>
                <w:color w:val="000000"/>
                <w:spacing w:val="0"/>
                <w:sz w:val="16"/>
                <w:szCs w:val="16"/>
                <w:lang w:eastAsia="en-US"/>
              </w:rPr>
              <w:t>1 420</w:t>
            </w:r>
          </w:p>
        </w:tc>
        <w:tc>
          <w:tcPr>
            <w:tcW w:w="708"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b/>
                <w:bCs/>
                <w:color w:val="000000"/>
                <w:spacing w:val="0"/>
                <w:sz w:val="16"/>
                <w:szCs w:val="16"/>
              </w:rPr>
            </w:pPr>
            <w:r w:rsidRPr="0031097E">
              <w:rPr>
                <w:rFonts w:eastAsia="Calibri"/>
                <w:b/>
                <w:bCs/>
                <w:color w:val="000000"/>
                <w:spacing w:val="0"/>
                <w:sz w:val="16"/>
                <w:szCs w:val="16"/>
                <w:lang w:eastAsia="en-US"/>
              </w:rPr>
              <w:t>3</w:t>
            </w:r>
            <w:r w:rsidRPr="0031097E">
              <w:rPr>
                <w:rFonts w:eastAsia="Calibri"/>
                <w:b/>
                <w:bCs/>
                <w:color w:val="000000"/>
                <w:spacing w:val="0"/>
                <w:sz w:val="16"/>
                <w:szCs w:val="16"/>
                <w:lang w:val="en-US" w:eastAsia="en-US"/>
              </w:rPr>
              <w:t xml:space="preserve"> </w:t>
            </w:r>
            <w:r w:rsidRPr="0031097E">
              <w:rPr>
                <w:rFonts w:eastAsia="Calibri"/>
                <w:b/>
                <w:bCs/>
                <w:color w:val="000000"/>
                <w:spacing w:val="0"/>
                <w:sz w:val="16"/>
                <w:szCs w:val="16"/>
                <w:lang w:eastAsia="en-US"/>
              </w:rPr>
              <w:t>063</w:t>
            </w:r>
          </w:p>
        </w:tc>
        <w:tc>
          <w:tcPr>
            <w:tcW w:w="1134"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b/>
                <w:bCs/>
                <w:color w:val="000000"/>
                <w:spacing w:val="0"/>
                <w:sz w:val="16"/>
                <w:szCs w:val="16"/>
                <w:lang w:val="en-US"/>
              </w:rPr>
            </w:pPr>
            <w:r w:rsidRPr="0031097E">
              <w:rPr>
                <w:rFonts w:eastAsia="Calibri"/>
                <w:b/>
                <w:bCs/>
                <w:color w:val="000000"/>
                <w:spacing w:val="0"/>
                <w:sz w:val="16"/>
                <w:szCs w:val="16"/>
                <w:lang w:eastAsia="en-US"/>
              </w:rPr>
              <w:t>6 582 40</w:t>
            </w:r>
            <w:r w:rsidRPr="0031097E">
              <w:rPr>
                <w:rFonts w:eastAsia="Calibri"/>
                <w:b/>
                <w:bCs/>
                <w:color w:val="000000"/>
                <w:spacing w:val="0"/>
                <w:sz w:val="16"/>
                <w:szCs w:val="16"/>
                <w:lang w:val="en-US" w:eastAsia="en-US"/>
              </w:rPr>
              <w:t>0</w:t>
            </w:r>
          </w:p>
        </w:tc>
      </w:tr>
      <w:tr w:rsidR="0031097E" w:rsidRPr="0031097E" w:rsidTr="00D04E56">
        <w:trPr>
          <w:trHeight w:val="498"/>
          <w:jc w:val="center"/>
        </w:trPr>
        <w:tc>
          <w:tcPr>
            <w:tcW w:w="602" w:type="dxa"/>
            <w:tcBorders>
              <w:top w:val="nil"/>
              <w:left w:val="single" w:sz="4" w:space="0" w:color="auto"/>
              <w:bottom w:val="single" w:sz="4" w:space="0" w:color="auto"/>
              <w:right w:val="single" w:sz="4" w:space="0" w:color="auto"/>
            </w:tcBorders>
            <w:noWrap/>
            <w:vAlign w:val="center"/>
            <w:hideMark/>
          </w:tcPr>
          <w:p w:rsidR="0031097E" w:rsidRPr="0031097E" w:rsidRDefault="0031097E" w:rsidP="0031097E">
            <w:pPr>
              <w:spacing w:after="160" w:line="256" w:lineRule="auto"/>
              <w:ind w:right="-249" w:hanging="241"/>
              <w:jc w:val="center"/>
              <w:rPr>
                <w:color w:val="000000"/>
                <w:spacing w:val="0"/>
                <w:sz w:val="16"/>
                <w:szCs w:val="16"/>
              </w:rPr>
            </w:pPr>
            <w:r w:rsidRPr="0031097E">
              <w:rPr>
                <w:color w:val="000000"/>
                <w:spacing w:val="0"/>
                <w:sz w:val="16"/>
                <w:szCs w:val="16"/>
              </w:rPr>
              <w:t>8.</w:t>
            </w:r>
          </w:p>
        </w:tc>
        <w:tc>
          <w:tcPr>
            <w:tcW w:w="1449" w:type="dxa"/>
            <w:tcBorders>
              <w:top w:val="nil"/>
              <w:left w:val="nil"/>
              <w:bottom w:val="single" w:sz="4" w:space="0" w:color="auto"/>
              <w:right w:val="single" w:sz="4" w:space="0" w:color="auto"/>
            </w:tcBorders>
            <w:vAlign w:val="center"/>
            <w:hideMark/>
          </w:tcPr>
          <w:p w:rsidR="0031097E" w:rsidRPr="0031097E" w:rsidRDefault="0031097E" w:rsidP="0031097E">
            <w:pPr>
              <w:spacing w:after="160" w:line="256" w:lineRule="auto"/>
              <w:rPr>
                <w:color w:val="000000"/>
                <w:spacing w:val="0"/>
                <w:sz w:val="16"/>
                <w:szCs w:val="16"/>
              </w:rPr>
            </w:pPr>
            <w:r w:rsidRPr="0031097E">
              <w:rPr>
                <w:color w:val="000000"/>
                <w:spacing w:val="0"/>
                <w:sz w:val="16"/>
                <w:szCs w:val="16"/>
              </w:rPr>
              <w:t>Каменский район и г. Каменка</w:t>
            </w:r>
          </w:p>
        </w:tc>
        <w:tc>
          <w:tcPr>
            <w:tcW w:w="536"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35</w:t>
            </w:r>
          </w:p>
        </w:tc>
        <w:tc>
          <w:tcPr>
            <w:tcW w:w="66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68</w:t>
            </w:r>
          </w:p>
        </w:tc>
        <w:tc>
          <w:tcPr>
            <w:tcW w:w="992"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137 356</w:t>
            </w:r>
          </w:p>
        </w:tc>
        <w:tc>
          <w:tcPr>
            <w:tcW w:w="567"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27</w:t>
            </w:r>
          </w:p>
        </w:tc>
        <w:tc>
          <w:tcPr>
            <w:tcW w:w="70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131</w:t>
            </w:r>
          </w:p>
        </w:tc>
        <w:tc>
          <w:tcPr>
            <w:tcW w:w="992"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223 359</w:t>
            </w:r>
          </w:p>
        </w:tc>
        <w:tc>
          <w:tcPr>
            <w:tcW w:w="70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140</w:t>
            </w:r>
          </w:p>
        </w:tc>
        <w:tc>
          <w:tcPr>
            <w:tcW w:w="708"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281</w:t>
            </w:r>
          </w:p>
        </w:tc>
        <w:tc>
          <w:tcPr>
            <w:tcW w:w="993"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600 768</w:t>
            </w:r>
          </w:p>
        </w:tc>
        <w:tc>
          <w:tcPr>
            <w:tcW w:w="70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136</w:t>
            </w:r>
          </w:p>
        </w:tc>
        <w:tc>
          <w:tcPr>
            <w:tcW w:w="567"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278</w:t>
            </w:r>
          </w:p>
        </w:tc>
        <w:tc>
          <w:tcPr>
            <w:tcW w:w="992"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614 875</w:t>
            </w:r>
          </w:p>
        </w:tc>
        <w:tc>
          <w:tcPr>
            <w:tcW w:w="70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132</w:t>
            </w:r>
          </w:p>
        </w:tc>
        <w:tc>
          <w:tcPr>
            <w:tcW w:w="70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rPr>
            </w:pPr>
            <w:r w:rsidRPr="0031097E">
              <w:rPr>
                <w:rFonts w:eastAsia="Calibri"/>
                <w:color w:val="000000"/>
                <w:spacing w:val="0"/>
                <w:sz w:val="16"/>
                <w:szCs w:val="16"/>
                <w:lang w:eastAsia="en-US"/>
              </w:rPr>
              <w:t>268</w:t>
            </w:r>
          </w:p>
        </w:tc>
        <w:tc>
          <w:tcPr>
            <w:tcW w:w="992"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color w:val="000000"/>
                <w:spacing w:val="0"/>
                <w:sz w:val="16"/>
                <w:szCs w:val="16"/>
                <w:lang w:val="en-US"/>
              </w:rPr>
            </w:pPr>
            <w:r w:rsidRPr="0031097E">
              <w:rPr>
                <w:rFonts w:eastAsia="Calibri"/>
                <w:color w:val="000000"/>
                <w:spacing w:val="0"/>
                <w:sz w:val="16"/>
                <w:szCs w:val="16"/>
                <w:lang w:eastAsia="en-US"/>
              </w:rPr>
              <w:t>617 68</w:t>
            </w:r>
            <w:r w:rsidRPr="0031097E">
              <w:rPr>
                <w:rFonts w:eastAsia="Calibri"/>
                <w:color w:val="000000"/>
                <w:spacing w:val="0"/>
                <w:sz w:val="16"/>
                <w:szCs w:val="16"/>
                <w:lang w:val="en-US" w:eastAsia="en-US"/>
              </w:rPr>
              <w:t>4</w:t>
            </w:r>
          </w:p>
        </w:tc>
        <w:tc>
          <w:tcPr>
            <w:tcW w:w="70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b/>
                <w:bCs/>
                <w:color w:val="000000"/>
                <w:spacing w:val="0"/>
                <w:sz w:val="16"/>
                <w:szCs w:val="16"/>
              </w:rPr>
            </w:pPr>
            <w:r w:rsidRPr="0031097E">
              <w:rPr>
                <w:rFonts w:eastAsia="Calibri"/>
                <w:b/>
                <w:bCs/>
                <w:color w:val="000000"/>
                <w:spacing w:val="0"/>
                <w:sz w:val="16"/>
                <w:szCs w:val="16"/>
                <w:lang w:eastAsia="en-US"/>
              </w:rPr>
              <w:t>470</w:t>
            </w:r>
          </w:p>
        </w:tc>
        <w:tc>
          <w:tcPr>
            <w:tcW w:w="708"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b/>
                <w:bCs/>
                <w:color w:val="000000"/>
                <w:spacing w:val="0"/>
                <w:sz w:val="16"/>
                <w:szCs w:val="16"/>
              </w:rPr>
            </w:pPr>
            <w:r w:rsidRPr="0031097E">
              <w:rPr>
                <w:rFonts w:eastAsia="Calibri"/>
                <w:b/>
                <w:bCs/>
                <w:color w:val="000000"/>
                <w:spacing w:val="0"/>
                <w:sz w:val="16"/>
                <w:szCs w:val="16"/>
                <w:lang w:eastAsia="en-US"/>
              </w:rPr>
              <w:t>1</w:t>
            </w:r>
            <w:r w:rsidRPr="0031097E">
              <w:rPr>
                <w:rFonts w:eastAsia="Calibri"/>
                <w:b/>
                <w:bCs/>
                <w:color w:val="000000"/>
                <w:spacing w:val="0"/>
                <w:sz w:val="16"/>
                <w:szCs w:val="16"/>
                <w:lang w:val="en-US" w:eastAsia="en-US"/>
              </w:rPr>
              <w:t xml:space="preserve"> </w:t>
            </w:r>
            <w:r w:rsidRPr="0031097E">
              <w:rPr>
                <w:rFonts w:eastAsia="Calibri"/>
                <w:b/>
                <w:bCs/>
                <w:color w:val="000000"/>
                <w:spacing w:val="0"/>
                <w:sz w:val="16"/>
                <w:szCs w:val="16"/>
                <w:lang w:eastAsia="en-US"/>
              </w:rPr>
              <w:t>026</w:t>
            </w:r>
          </w:p>
        </w:tc>
        <w:tc>
          <w:tcPr>
            <w:tcW w:w="1134"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b/>
                <w:bCs/>
                <w:color w:val="000000"/>
                <w:spacing w:val="0"/>
                <w:sz w:val="16"/>
                <w:szCs w:val="16"/>
              </w:rPr>
            </w:pPr>
            <w:r w:rsidRPr="0031097E">
              <w:rPr>
                <w:rFonts w:eastAsia="Calibri"/>
                <w:b/>
                <w:bCs/>
                <w:color w:val="000000"/>
                <w:spacing w:val="0"/>
                <w:sz w:val="16"/>
                <w:szCs w:val="16"/>
                <w:lang w:eastAsia="en-US"/>
              </w:rPr>
              <w:t>2 194 041</w:t>
            </w:r>
          </w:p>
        </w:tc>
      </w:tr>
      <w:tr w:rsidR="0031097E" w:rsidRPr="0031097E" w:rsidTr="00D04E56">
        <w:trPr>
          <w:trHeight w:val="249"/>
          <w:jc w:val="center"/>
        </w:trPr>
        <w:tc>
          <w:tcPr>
            <w:tcW w:w="2051" w:type="dxa"/>
            <w:gridSpan w:val="2"/>
            <w:tcBorders>
              <w:top w:val="single" w:sz="4" w:space="0" w:color="auto"/>
              <w:left w:val="single" w:sz="4" w:space="0" w:color="auto"/>
              <w:bottom w:val="single" w:sz="4" w:space="0" w:color="auto"/>
              <w:right w:val="single" w:sz="4" w:space="0" w:color="auto"/>
            </w:tcBorders>
            <w:noWrap/>
            <w:vAlign w:val="bottom"/>
            <w:hideMark/>
          </w:tcPr>
          <w:p w:rsidR="0031097E" w:rsidRPr="0031097E" w:rsidRDefault="0031097E" w:rsidP="0031097E">
            <w:pPr>
              <w:spacing w:after="160" w:line="256" w:lineRule="auto"/>
              <w:jc w:val="center"/>
              <w:rPr>
                <w:b/>
                <w:bCs/>
                <w:color w:val="000000"/>
                <w:spacing w:val="0"/>
                <w:sz w:val="16"/>
                <w:szCs w:val="16"/>
              </w:rPr>
            </w:pPr>
            <w:r w:rsidRPr="0031097E">
              <w:rPr>
                <w:b/>
                <w:bCs/>
                <w:color w:val="000000"/>
                <w:spacing w:val="0"/>
                <w:sz w:val="16"/>
                <w:szCs w:val="16"/>
              </w:rPr>
              <w:t>Итого</w:t>
            </w:r>
          </w:p>
        </w:tc>
        <w:tc>
          <w:tcPr>
            <w:tcW w:w="536"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b/>
                <w:bCs/>
                <w:color w:val="000000"/>
                <w:spacing w:val="0"/>
                <w:sz w:val="16"/>
                <w:szCs w:val="16"/>
              </w:rPr>
            </w:pPr>
            <w:r w:rsidRPr="0031097E">
              <w:rPr>
                <w:rFonts w:eastAsia="Calibri"/>
                <w:b/>
                <w:bCs/>
                <w:spacing w:val="0"/>
                <w:sz w:val="16"/>
                <w:szCs w:val="16"/>
                <w:lang w:eastAsia="en-US"/>
              </w:rPr>
              <w:t>347</w:t>
            </w:r>
          </w:p>
        </w:tc>
        <w:tc>
          <w:tcPr>
            <w:tcW w:w="66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b/>
                <w:bCs/>
                <w:color w:val="000000"/>
                <w:spacing w:val="0"/>
                <w:sz w:val="16"/>
                <w:szCs w:val="16"/>
              </w:rPr>
            </w:pPr>
            <w:r w:rsidRPr="0031097E">
              <w:rPr>
                <w:rFonts w:eastAsia="Calibri"/>
                <w:b/>
                <w:bCs/>
                <w:spacing w:val="0"/>
                <w:sz w:val="16"/>
                <w:szCs w:val="16"/>
                <w:lang w:eastAsia="en-US"/>
              </w:rPr>
              <w:t>698</w:t>
            </w:r>
          </w:p>
        </w:tc>
        <w:tc>
          <w:tcPr>
            <w:tcW w:w="992" w:type="dxa"/>
            <w:tcBorders>
              <w:top w:val="nil"/>
              <w:left w:val="single" w:sz="4" w:space="0" w:color="auto"/>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b/>
                <w:bCs/>
                <w:color w:val="000000"/>
                <w:spacing w:val="0"/>
                <w:sz w:val="16"/>
                <w:szCs w:val="16"/>
              </w:rPr>
            </w:pPr>
            <w:r w:rsidRPr="0031097E">
              <w:rPr>
                <w:rFonts w:eastAsia="Calibri"/>
                <w:b/>
                <w:bCs/>
                <w:spacing w:val="0"/>
                <w:sz w:val="16"/>
                <w:szCs w:val="16"/>
                <w:lang w:eastAsia="en-US"/>
              </w:rPr>
              <w:t>1 395 527</w:t>
            </w:r>
          </w:p>
        </w:tc>
        <w:tc>
          <w:tcPr>
            <w:tcW w:w="567"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rFonts w:eastAsia="Calibri"/>
                <w:b/>
                <w:bCs/>
                <w:color w:val="000000"/>
                <w:spacing w:val="0"/>
                <w:sz w:val="16"/>
                <w:szCs w:val="16"/>
                <w:lang w:eastAsia="en-US"/>
              </w:rPr>
            </w:pPr>
            <w:r w:rsidRPr="0031097E">
              <w:rPr>
                <w:rFonts w:eastAsia="Calibri"/>
                <w:b/>
                <w:bCs/>
                <w:color w:val="000000"/>
                <w:spacing w:val="0"/>
                <w:sz w:val="16"/>
                <w:szCs w:val="16"/>
                <w:lang w:eastAsia="en-US"/>
              </w:rPr>
              <w:t>709</w:t>
            </w:r>
          </w:p>
        </w:tc>
        <w:tc>
          <w:tcPr>
            <w:tcW w:w="70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ind w:right="-105"/>
              <w:jc w:val="center"/>
              <w:rPr>
                <w:b/>
                <w:bCs/>
                <w:color w:val="000000"/>
                <w:spacing w:val="0"/>
                <w:sz w:val="16"/>
                <w:szCs w:val="16"/>
              </w:rPr>
            </w:pPr>
            <w:r w:rsidRPr="0031097E">
              <w:rPr>
                <w:rFonts w:eastAsia="Calibri"/>
                <w:b/>
                <w:bCs/>
                <w:color w:val="000000"/>
                <w:spacing w:val="0"/>
                <w:sz w:val="16"/>
                <w:szCs w:val="16"/>
                <w:lang w:eastAsia="en-US"/>
              </w:rPr>
              <w:t>1 644</w:t>
            </w:r>
          </w:p>
        </w:tc>
        <w:tc>
          <w:tcPr>
            <w:tcW w:w="992" w:type="dxa"/>
            <w:tcBorders>
              <w:top w:val="nil"/>
              <w:left w:val="single" w:sz="4" w:space="0" w:color="auto"/>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b/>
                <w:bCs/>
                <w:color w:val="000000"/>
                <w:spacing w:val="0"/>
                <w:sz w:val="16"/>
                <w:szCs w:val="16"/>
              </w:rPr>
            </w:pPr>
            <w:r w:rsidRPr="0031097E">
              <w:rPr>
                <w:rFonts w:eastAsia="Calibri"/>
                <w:b/>
                <w:bCs/>
                <w:color w:val="000000"/>
                <w:spacing w:val="0"/>
                <w:sz w:val="16"/>
                <w:szCs w:val="16"/>
                <w:lang w:eastAsia="en-US"/>
              </w:rPr>
              <w:t>3 247 473</w:t>
            </w:r>
          </w:p>
        </w:tc>
        <w:tc>
          <w:tcPr>
            <w:tcW w:w="70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b/>
                <w:bCs/>
                <w:color w:val="000000"/>
                <w:spacing w:val="0"/>
                <w:sz w:val="16"/>
                <w:szCs w:val="16"/>
              </w:rPr>
            </w:pPr>
            <w:r w:rsidRPr="0031097E">
              <w:rPr>
                <w:b/>
                <w:bCs/>
                <w:color w:val="000000"/>
                <w:spacing w:val="0"/>
                <w:sz w:val="16"/>
                <w:szCs w:val="16"/>
              </w:rPr>
              <w:t>3 694</w:t>
            </w:r>
          </w:p>
        </w:tc>
        <w:tc>
          <w:tcPr>
            <w:tcW w:w="708"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b/>
                <w:bCs/>
                <w:color w:val="000000"/>
                <w:spacing w:val="0"/>
                <w:sz w:val="16"/>
                <w:szCs w:val="16"/>
              </w:rPr>
            </w:pPr>
            <w:r w:rsidRPr="0031097E">
              <w:rPr>
                <w:rFonts w:eastAsia="Calibri"/>
                <w:b/>
                <w:bCs/>
                <w:color w:val="000000"/>
                <w:spacing w:val="0"/>
                <w:sz w:val="16"/>
                <w:szCs w:val="16"/>
                <w:lang w:eastAsia="en-US"/>
              </w:rPr>
              <w:t>3 506</w:t>
            </w:r>
          </w:p>
        </w:tc>
        <w:tc>
          <w:tcPr>
            <w:tcW w:w="993" w:type="dxa"/>
            <w:tcBorders>
              <w:top w:val="nil"/>
              <w:left w:val="single" w:sz="4" w:space="0" w:color="auto"/>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b/>
                <w:bCs/>
                <w:color w:val="000000"/>
                <w:spacing w:val="0"/>
                <w:sz w:val="16"/>
                <w:szCs w:val="16"/>
                <w:highlight w:val="yellow"/>
              </w:rPr>
            </w:pPr>
            <w:r w:rsidRPr="0031097E">
              <w:rPr>
                <w:rFonts w:eastAsia="Calibri"/>
                <w:b/>
                <w:bCs/>
                <w:color w:val="000000"/>
                <w:spacing w:val="0"/>
                <w:sz w:val="16"/>
                <w:szCs w:val="16"/>
                <w:lang w:eastAsia="en-US"/>
              </w:rPr>
              <w:t>9 927 027</w:t>
            </w:r>
          </w:p>
        </w:tc>
        <w:tc>
          <w:tcPr>
            <w:tcW w:w="70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b/>
                <w:bCs/>
                <w:color w:val="000000"/>
                <w:spacing w:val="0"/>
                <w:sz w:val="16"/>
                <w:szCs w:val="16"/>
              </w:rPr>
            </w:pPr>
            <w:r w:rsidRPr="0031097E">
              <w:rPr>
                <w:rFonts w:eastAsia="Calibri"/>
                <w:b/>
                <w:bCs/>
                <w:color w:val="000000"/>
                <w:spacing w:val="0"/>
                <w:sz w:val="16"/>
                <w:szCs w:val="16"/>
                <w:lang w:eastAsia="en-US"/>
              </w:rPr>
              <w:t>3 598</w:t>
            </w:r>
          </w:p>
        </w:tc>
        <w:tc>
          <w:tcPr>
            <w:tcW w:w="567"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ind w:hanging="53"/>
              <w:jc w:val="center"/>
              <w:rPr>
                <w:b/>
                <w:bCs/>
                <w:color w:val="000000"/>
                <w:spacing w:val="0"/>
                <w:sz w:val="16"/>
                <w:szCs w:val="16"/>
              </w:rPr>
            </w:pPr>
            <w:r w:rsidRPr="0031097E">
              <w:rPr>
                <w:rFonts w:eastAsia="Calibri"/>
                <w:b/>
                <w:bCs/>
                <w:color w:val="000000"/>
                <w:spacing w:val="0"/>
                <w:sz w:val="16"/>
                <w:szCs w:val="16"/>
                <w:lang w:eastAsia="en-US"/>
              </w:rPr>
              <w:t>3 514</w:t>
            </w:r>
          </w:p>
        </w:tc>
        <w:tc>
          <w:tcPr>
            <w:tcW w:w="992" w:type="dxa"/>
            <w:tcBorders>
              <w:top w:val="nil"/>
              <w:left w:val="single" w:sz="4" w:space="0" w:color="auto"/>
              <w:bottom w:val="single" w:sz="4" w:space="0" w:color="auto"/>
              <w:right w:val="single" w:sz="4" w:space="0" w:color="auto"/>
            </w:tcBorders>
            <w:noWrap/>
            <w:vAlign w:val="center"/>
            <w:hideMark/>
          </w:tcPr>
          <w:p w:rsidR="0031097E" w:rsidRPr="0031097E" w:rsidRDefault="0031097E" w:rsidP="0031097E">
            <w:pPr>
              <w:spacing w:after="160" w:line="256" w:lineRule="auto"/>
              <w:ind w:hanging="98"/>
              <w:jc w:val="center"/>
              <w:rPr>
                <w:b/>
                <w:bCs/>
                <w:color w:val="000000"/>
                <w:spacing w:val="0"/>
                <w:sz w:val="16"/>
                <w:szCs w:val="16"/>
              </w:rPr>
            </w:pPr>
            <w:r w:rsidRPr="0031097E">
              <w:rPr>
                <w:rFonts w:eastAsia="Calibri"/>
                <w:b/>
                <w:bCs/>
                <w:color w:val="000000"/>
                <w:spacing w:val="0"/>
                <w:sz w:val="16"/>
                <w:szCs w:val="16"/>
                <w:lang w:eastAsia="en-US"/>
              </w:rPr>
              <w:t>10 212 059</w:t>
            </w:r>
          </w:p>
        </w:tc>
        <w:tc>
          <w:tcPr>
            <w:tcW w:w="70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b/>
                <w:bCs/>
                <w:color w:val="000000"/>
                <w:spacing w:val="0"/>
                <w:sz w:val="16"/>
                <w:szCs w:val="16"/>
              </w:rPr>
            </w:pPr>
            <w:r w:rsidRPr="0031097E">
              <w:rPr>
                <w:rFonts w:eastAsia="Calibri"/>
                <w:b/>
                <w:bCs/>
                <w:color w:val="000000"/>
                <w:spacing w:val="0"/>
                <w:sz w:val="16"/>
                <w:szCs w:val="16"/>
                <w:lang w:eastAsia="en-US"/>
              </w:rPr>
              <w:t>3 503</w:t>
            </w:r>
          </w:p>
        </w:tc>
        <w:tc>
          <w:tcPr>
            <w:tcW w:w="70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b/>
                <w:bCs/>
                <w:color w:val="000000"/>
                <w:spacing w:val="0"/>
                <w:sz w:val="16"/>
                <w:szCs w:val="16"/>
              </w:rPr>
            </w:pPr>
            <w:r w:rsidRPr="0031097E">
              <w:rPr>
                <w:rFonts w:eastAsia="Calibri"/>
                <w:b/>
                <w:bCs/>
                <w:color w:val="000000"/>
                <w:spacing w:val="0"/>
                <w:sz w:val="16"/>
                <w:szCs w:val="16"/>
                <w:lang w:eastAsia="en-US"/>
              </w:rPr>
              <w:t>3 413</w:t>
            </w:r>
          </w:p>
        </w:tc>
        <w:tc>
          <w:tcPr>
            <w:tcW w:w="992" w:type="dxa"/>
            <w:tcBorders>
              <w:top w:val="nil"/>
              <w:left w:val="single" w:sz="4" w:space="0" w:color="auto"/>
              <w:bottom w:val="single" w:sz="4" w:space="0" w:color="auto"/>
              <w:right w:val="single" w:sz="4" w:space="0" w:color="auto"/>
            </w:tcBorders>
            <w:noWrap/>
            <w:vAlign w:val="center"/>
            <w:hideMark/>
          </w:tcPr>
          <w:p w:rsidR="0031097E" w:rsidRPr="0031097E" w:rsidRDefault="0031097E" w:rsidP="0031097E">
            <w:pPr>
              <w:spacing w:after="160" w:line="256" w:lineRule="auto"/>
              <w:ind w:hanging="94"/>
              <w:jc w:val="center"/>
              <w:rPr>
                <w:b/>
                <w:bCs/>
                <w:color w:val="000000"/>
                <w:spacing w:val="0"/>
                <w:sz w:val="16"/>
                <w:szCs w:val="16"/>
              </w:rPr>
            </w:pPr>
            <w:r w:rsidRPr="0031097E">
              <w:rPr>
                <w:rFonts w:eastAsia="Calibri"/>
                <w:b/>
                <w:bCs/>
                <w:color w:val="000000"/>
                <w:spacing w:val="0"/>
                <w:sz w:val="16"/>
                <w:szCs w:val="16"/>
                <w:lang w:eastAsia="en-US"/>
              </w:rPr>
              <w:t>10 326 851</w:t>
            </w:r>
          </w:p>
        </w:tc>
        <w:tc>
          <w:tcPr>
            <w:tcW w:w="709"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b/>
                <w:bCs/>
                <w:color w:val="000000"/>
                <w:spacing w:val="0"/>
                <w:sz w:val="16"/>
                <w:szCs w:val="16"/>
              </w:rPr>
            </w:pPr>
            <w:r w:rsidRPr="0031097E">
              <w:rPr>
                <w:rFonts w:eastAsia="Calibri"/>
                <w:b/>
                <w:bCs/>
                <w:color w:val="000000"/>
                <w:spacing w:val="0"/>
                <w:sz w:val="16"/>
                <w:szCs w:val="16"/>
                <w:lang w:eastAsia="en-US"/>
              </w:rPr>
              <w:t>11 851</w:t>
            </w:r>
          </w:p>
        </w:tc>
        <w:tc>
          <w:tcPr>
            <w:tcW w:w="708" w:type="dxa"/>
            <w:tcBorders>
              <w:top w:val="nil"/>
              <w:left w:val="nil"/>
              <w:bottom w:val="single" w:sz="4" w:space="0" w:color="auto"/>
              <w:right w:val="single" w:sz="4" w:space="0" w:color="auto"/>
            </w:tcBorders>
            <w:noWrap/>
            <w:vAlign w:val="center"/>
            <w:hideMark/>
          </w:tcPr>
          <w:p w:rsidR="0031097E" w:rsidRPr="0031097E" w:rsidRDefault="0031097E" w:rsidP="0031097E">
            <w:pPr>
              <w:spacing w:after="160" w:line="256" w:lineRule="auto"/>
              <w:ind w:hanging="124"/>
              <w:jc w:val="center"/>
              <w:rPr>
                <w:b/>
                <w:bCs/>
                <w:color w:val="000000"/>
                <w:spacing w:val="0"/>
                <w:sz w:val="16"/>
                <w:szCs w:val="16"/>
              </w:rPr>
            </w:pPr>
            <w:r w:rsidRPr="0031097E">
              <w:rPr>
                <w:rFonts w:eastAsia="Calibri"/>
                <w:b/>
                <w:bCs/>
                <w:color w:val="000000"/>
                <w:spacing w:val="0"/>
                <w:sz w:val="16"/>
                <w:szCs w:val="16"/>
                <w:lang w:eastAsia="en-US"/>
              </w:rPr>
              <w:t>12 775</w:t>
            </w:r>
          </w:p>
        </w:tc>
        <w:tc>
          <w:tcPr>
            <w:tcW w:w="1134" w:type="dxa"/>
            <w:tcBorders>
              <w:top w:val="nil"/>
              <w:left w:val="single" w:sz="4" w:space="0" w:color="auto"/>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b/>
                <w:bCs/>
                <w:color w:val="000000"/>
                <w:spacing w:val="0"/>
                <w:sz w:val="16"/>
                <w:szCs w:val="16"/>
              </w:rPr>
            </w:pPr>
            <w:r w:rsidRPr="0031097E">
              <w:rPr>
                <w:rFonts w:eastAsia="Calibri"/>
                <w:b/>
                <w:bCs/>
                <w:color w:val="000000"/>
                <w:spacing w:val="0"/>
                <w:sz w:val="16"/>
                <w:szCs w:val="16"/>
                <w:lang w:eastAsia="en-US"/>
              </w:rPr>
              <w:t>35 108 937</w:t>
            </w:r>
          </w:p>
        </w:tc>
      </w:tr>
      <w:tr w:rsidR="0031097E" w:rsidRPr="0031097E" w:rsidTr="00D04E56">
        <w:trPr>
          <w:trHeight w:val="249"/>
          <w:jc w:val="center"/>
        </w:trPr>
        <w:tc>
          <w:tcPr>
            <w:tcW w:w="2051" w:type="dxa"/>
            <w:gridSpan w:val="2"/>
            <w:tcBorders>
              <w:top w:val="single" w:sz="4" w:space="0" w:color="auto"/>
              <w:left w:val="single" w:sz="4" w:space="0" w:color="auto"/>
              <w:bottom w:val="single" w:sz="4" w:space="0" w:color="auto"/>
              <w:right w:val="single" w:sz="4" w:space="0" w:color="auto"/>
            </w:tcBorders>
            <w:noWrap/>
            <w:vAlign w:val="bottom"/>
            <w:hideMark/>
          </w:tcPr>
          <w:p w:rsidR="0031097E" w:rsidRPr="0031097E" w:rsidRDefault="0031097E" w:rsidP="0031097E">
            <w:pPr>
              <w:spacing w:after="160" w:line="256" w:lineRule="auto"/>
              <w:jc w:val="center"/>
              <w:rPr>
                <w:b/>
                <w:bCs/>
                <w:color w:val="000000"/>
                <w:spacing w:val="0"/>
                <w:sz w:val="16"/>
                <w:szCs w:val="16"/>
              </w:rPr>
            </w:pPr>
            <w:r w:rsidRPr="0031097E">
              <w:rPr>
                <w:b/>
                <w:bCs/>
                <w:color w:val="000000"/>
                <w:spacing w:val="0"/>
                <w:sz w:val="16"/>
                <w:szCs w:val="16"/>
              </w:rPr>
              <w:t>Всего</w:t>
            </w:r>
          </w:p>
        </w:tc>
        <w:tc>
          <w:tcPr>
            <w:tcW w:w="1205" w:type="dxa"/>
            <w:gridSpan w:val="2"/>
            <w:tcBorders>
              <w:top w:val="single" w:sz="4" w:space="0" w:color="auto"/>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b/>
                <w:bCs/>
                <w:color w:val="000000"/>
                <w:spacing w:val="0"/>
                <w:sz w:val="16"/>
                <w:szCs w:val="16"/>
              </w:rPr>
            </w:pPr>
            <w:r w:rsidRPr="0031097E">
              <w:rPr>
                <w:rFonts w:eastAsia="Calibri"/>
                <w:b/>
                <w:bCs/>
                <w:spacing w:val="0"/>
                <w:sz w:val="16"/>
                <w:szCs w:val="16"/>
                <w:lang w:eastAsia="en-US"/>
              </w:rPr>
              <w:t>1 045</w:t>
            </w:r>
          </w:p>
        </w:tc>
        <w:tc>
          <w:tcPr>
            <w:tcW w:w="992" w:type="dxa"/>
            <w:tcBorders>
              <w:top w:val="nil"/>
              <w:left w:val="single" w:sz="4" w:space="0" w:color="auto"/>
              <w:bottom w:val="single" w:sz="4" w:space="0" w:color="auto"/>
              <w:right w:val="single" w:sz="4" w:space="0" w:color="auto"/>
            </w:tcBorders>
            <w:vAlign w:val="center"/>
            <w:hideMark/>
          </w:tcPr>
          <w:p w:rsidR="0031097E" w:rsidRPr="0031097E" w:rsidRDefault="0031097E" w:rsidP="0031097E">
            <w:pPr>
              <w:spacing w:after="160" w:line="256" w:lineRule="auto"/>
              <w:jc w:val="center"/>
              <w:rPr>
                <w:b/>
                <w:bCs/>
                <w:color w:val="000000"/>
                <w:spacing w:val="0"/>
                <w:sz w:val="16"/>
                <w:szCs w:val="16"/>
              </w:rPr>
            </w:pPr>
            <w:r w:rsidRPr="0031097E">
              <w:rPr>
                <w:rFonts w:eastAsia="Calibri"/>
                <w:spacing w:val="0"/>
                <w:sz w:val="16"/>
                <w:szCs w:val="16"/>
                <w:lang w:eastAsia="en-US"/>
              </w:rPr>
              <w:t> </w:t>
            </w:r>
          </w:p>
        </w:tc>
        <w:tc>
          <w:tcPr>
            <w:tcW w:w="1276" w:type="dxa"/>
            <w:gridSpan w:val="2"/>
            <w:tcBorders>
              <w:top w:val="single" w:sz="4" w:space="0" w:color="auto"/>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b/>
                <w:bCs/>
                <w:color w:val="000000"/>
                <w:spacing w:val="0"/>
                <w:sz w:val="16"/>
                <w:szCs w:val="16"/>
              </w:rPr>
            </w:pPr>
            <w:r w:rsidRPr="0031097E">
              <w:rPr>
                <w:rFonts w:eastAsia="Calibri"/>
                <w:b/>
                <w:bCs/>
                <w:color w:val="000000"/>
                <w:spacing w:val="0"/>
                <w:sz w:val="16"/>
                <w:szCs w:val="16"/>
                <w:lang w:eastAsia="en-US"/>
              </w:rPr>
              <w:t>2 353</w:t>
            </w:r>
          </w:p>
        </w:tc>
        <w:tc>
          <w:tcPr>
            <w:tcW w:w="992" w:type="dxa"/>
            <w:tcBorders>
              <w:top w:val="nil"/>
              <w:left w:val="single" w:sz="4" w:space="0" w:color="auto"/>
              <w:bottom w:val="single" w:sz="4" w:space="0" w:color="auto"/>
              <w:right w:val="single" w:sz="4" w:space="0" w:color="auto"/>
            </w:tcBorders>
            <w:vAlign w:val="center"/>
            <w:hideMark/>
          </w:tcPr>
          <w:p w:rsidR="0031097E" w:rsidRPr="0031097E" w:rsidRDefault="0031097E" w:rsidP="0031097E">
            <w:pPr>
              <w:spacing w:after="160" w:line="256" w:lineRule="auto"/>
              <w:jc w:val="center"/>
              <w:rPr>
                <w:b/>
                <w:bCs/>
                <w:color w:val="000000"/>
                <w:spacing w:val="0"/>
                <w:sz w:val="16"/>
                <w:szCs w:val="16"/>
              </w:rPr>
            </w:pPr>
            <w:r w:rsidRPr="0031097E">
              <w:rPr>
                <w:rFonts w:eastAsia="Calibri"/>
                <w:color w:val="000000"/>
                <w:spacing w:val="0"/>
                <w:sz w:val="16"/>
                <w:szCs w:val="16"/>
                <w:lang w:eastAsia="en-US"/>
              </w:rPr>
              <w:t> </w:t>
            </w:r>
          </w:p>
        </w:tc>
        <w:tc>
          <w:tcPr>
            <w:tcW w:w="1417" w:type="dxa"/>
            <w:gridSpan w:val="2"/>
            <w:tcBorders>
              <w:top w:val="single" w:sz="4" w:space="0" w:color="auto"/>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b/>
                <w:bCs/>
                <w:color w:val="000000"/>
                <w:spacing w:val="0"/>
                <w:sz w:val="16"/>
                <w:szCs w:val="16"/>
              </w:rPr>
            </w:pPr>
            <w:r w:rsidRPr="0031097E">
              <w:rPr>
                <w:rFonts w:eastAsia="Calibri"/>
                <w:b/>
                <w:bCs/>
                <w:color w:val="000000"/>
                <w:spacing w:val="0"/>
                <w:sz w:val="16"/>
                <w:szCs w:val="16"/>
                <w:lang w:eastAsia="en-US"/>
              </w:rPr>
              <w:t>7 200</w:t>
            </w:r>
          </w:p>
        </w:tc>
        <w:tc>
          <w:tcPr>
            <w:tcW w:w="993" w:type="dxa"/>
            <w:tcBorders>
              <w:top w:val="nil"/>
              <w:left w:val="single" w:sz="4" w:space="0" w:color="auto"/>
              <w:bottom w:val="single" w:sz="4" w:space="0" w:color="auto"/>
              <w:right w:val="single" w:sz="4" w:space="0" w:color="auto"/>
            </w:tcBorders>
            <w:vAlign w:val="center"/>
            <w:hideMark/>
          </w:tcPr>
          <w:p w:rsidR="0031097E" w:rsidRPr="0031097E" w:rsidRDefault="0031097E" w:rsidP="0031097E">
            <w:pPr>
              <w:spacing w:after="160" w:line="256" w:lineRule="auto"/>
              <w:jc w:val="center"/>
              <w:rPr>
                <w:b/>
                <w:bCs/>
                <w:color w:val="000000"/>
                <w:spacing w:val="0"/>
                <w:sz w:val="16"/>
                <w:szCs w:val="16"/>
              </w:rPr>
            </w:pPr>
            <w:r w:rsidRPr="0031097E">
              <w:rPr>
                <w:rFonts w:eastAsia="Calibri"/>
                <w:color w:val="000000"/>
                <w:spacing w:val="0"/>
                <w:sz w:val="16"/>
                <w:szCs w:val="16"/>
                <w:lang w:eastAsia="en-US"/>
              </w:rPr>
              <w:t> </w:t>
            </w:r>
          </w:p>
        </w:tc>
        <w:tc>
          <w:tcPr>
            <w:tcW w:w="1276" w:type="dxa"/>
            <w:gridSpan w:val="2"/>
            <w:tcBorders>
              <w:top w:val="single" w:sz="4" w:space="0" w:color="auto"/>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b/>
                <w:bCs/>
                <w:color w:val="000000"/>
                <w:spacing w:val="0"/>
                <w:sz w:val="16"/>
                <w:szCs w:val="16"/>
              </w:rPr>
            </w:pPr>
            <w:r w:rsidRPr="0031097E">
              <w:rPr>
                <w:rFonts w:eastAsia="Calibri"/>
                <w:b/>
                <w:bCs/>
                <w:color w:val="000000"/>
                <w:spacing w:val="0"/>
                <w:sz w:val="16"/>
                <w:szCs w:val="16"/>
                <w:lang w:eastAsia="en-US"/>
              </w:rPr>
              <w:t>7 112</w:t>
            </w:r>
          </w:p>
        </w:tc>
        <w:tc>
          <w:tcPr>
            <w:tcW w:w="992" w:type="dxa"/>
            <w:tcBorders>
              <w:top w:val="nil"/>
              <w:left w:val="single" w:sz="4" w:space="0" w:color="auto"/>
              <w:bottom w:val="single" w:sz="4" w:space="0" w:color="auto"/>
              <w:right w:val="single" w:sz="4" w:space="0" w:color="auto"/>
            </w:tcBorders>
            <w:vAlign w:val="center"/>
            <w:hideMark/>
          </w:tcPr>
          <w:p w:rsidR="0031097E" w:rsidRPr="0031097E" w:rsidRDefault="0031097E" w:rsidP="0031097E">
            <w:pPr>
              <w:spacing w:after="160" w:line="256" w:lineRule="auto"/>
              <w:jc w:val="center"/>
              <w:rPr>
                <w:b/>
                <w:bCs/>
                <w:color w:val="000000"/>
                <w:spacing w:val="0"/>
                <w:sz w:val="16"/>
                <w:szCs w:val="16"/>
              </w:rPr>
            </w:pPr>
            <w:r w:rsidRPr="0031097E">
              <w:rPr>
                <w:rFonts w:eastAsia="Calibri"/>
                <w:color w:val="000000"/>
                <w:spacing w:val="0"/>
                <w:sz w:val="16"/>
                <w:szCs w:val="16"/>
                <w:lang w:eastAsia="en-US"/>
              </w:rPr>
              <w:t> </w:t>
            </w:r>
          </w:p>
        </w:tc>
        <w:tc>
          <w:tcPr>
            <w:tcW w:w="1418" w:type="dxa"/>
            <w:gridSpan w:val="2"/>
            <w:tcBorders>
              <w:top w:val="single" w:sz="4" w:space="0" w:color="auto"/>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b/>
                <w:bCs/>
                <w:color w:val="000000"/>
                <w:spacing w:val="0"/>
                <w:sz w:val="16"/>
                <w:szCs w:val="16"/>
              </w:rPr>
            </w:pPr>
            <w:r w:rsidRPr="0031097E">
              <w:rPr>
                <w:rFonts w:eastAsia="Calibri"/>
                <w:b/>
                <w:bCs/>
                <w:color w:val="000000"/>
                <w:spacing w:val="0"/>
                <w:sz w:val="16"/>
                <w:szCs w:val="16"/>
                <w:lang w:eastAsia="en-US"/>
              </w:rPr>
              <w:t>6 916</w:t>
            </w:r>
          </w:p>
        </w:tc>
        <w:tc>
          <w:tcPr>
            <w:tcW w:w="992" w:type="dxa"/>
            <w:tcBorders>
              <w:top w:val="nil"/>
              <w:left w:val="single" w:sz="4" w:space="0" w:color="auto"/>
              <w:bottom w:val="single" w:sz="4" w:space="0" w:color="auto"/>
              <w:right w:val="single" w:sz="4" w:space="0" w:color="auto"/>
            </w:tcBorders>
            <w:vAlign w:val="center"/>
            <w:hideMark/>
          </w:tcPr>
          <w:p w:rsidR="0031097E" w:rsidRPr="0031097E" w:rsidRDefault="0031097E" w:rsidP="0031097E">
            <w:pPr>
              <w:spacing w:after="160" w:line="256" w:lineRule="auto"/>
              <w:jc w:val="center"/>
              <w:rPr>
                <w:b/>
                <w:bCs/>
                <w:color w:val="000000"/>
                <w:spacing w:val="0"/>
                <w:sz w:val="16"/>
                <w:szCs w:val="16"/>
              </w:rPr>
            </w:pPr>
            <w:r w:rsidRPr="0031097E">
              <w:rPr>
                <w:rFonts w:eastAsia="Calibri"/>
                <w:color w:val="000000"/>
                <w:spacing w:val="0"/>
                <w:sz w:val="16"/>
                <w:szCs w:val="16"/>
                <w:lang w:eastAsia="en-US"/>
              </w:rPr>
              <w:t> </w:t>
            </w:r>
          </w:p>
        </w:tc>
        <w:tc>
          <w:tcPr>
            <w:tcW w:w="1417" w:type="dxa"/>
            <w:gridSpan w:val="2"/>
            <w:tcBorders>
              <w:top w:val="single" w:sz="4" w:space="0" w:color="auto"/>
              <w:left w:val="nil"/>
              <w:bottom w:val="single" w:sz="4" w:space="0" w:color="auto"/>
              <w:right w:val="single" w:sz="4" w:space="0" w:color="auto"/>
            </w:tcBorders>
            <w:noWrap/>
            <w:vAlign w:val="center"/>
            <w:hideMark/>
          </w:tcPr>
          <w:p w:rsidR="0031097E" w:rsidRPr="0031097E" w:rsidRDefault="0031097E" w:rsidP="0031097E">
            <w:pPr>
              <w:spacing w:after="160" w:line="256" w:lineRule="auto"/>
              <w:jc w:val="center"/>
              <w:rPr>
                <w:b/>
                <w:bCs/>
                <w:color w:val="000000"/>
                <w:spacing w:val="0"/>
                <w:sz w:val="16"/>
                <w:szCs w:val="16"/>
              </w:rPr>
            </w:pPr>
            <w:r w:rsidRPr="0031097E">
              <w:rPr>
                <w:rFonts w:eastAsia="Calibri"/>
                <w:b/>
                <w:bCs/>
                <w:color w:val="000000"/>
                <w:spacing w:val="0"/>
                <w:sz w:val="16"/>
                <w:szCs w:val="16"/>
                <w:lang w:eastAsia="en-US"/>
              </w:rPr>
              <w:t>24 626</w:t>
            </w:r>
          </w:p>
        </w:tc>
        <w:tc>
          <w:tcPr>
            <w:tcW w:w="1134" w:type="dxa"/>
            <w:tcBorders>
              <w:top w:val="nil"/>
              <w:left w:val="single" w:sz="4" w:space="0" w:color="auto"/>
              <w:bottom w:val="single" w:sz="4" w:space="0" w:color="auto"/>
              <w:right w:val="single" w:sz="4" w:space="0" w:color="auto"/>
            </w:tcBorders>
            <w:vAlign w:val="center"/>
            <w:hideMark/>
          </w:tcPr>
          <w:p w:rsidR="0031097E" w:rsidRPr="0031097E" w:rsidRDefault="0031097E" w:rsidP="0031097E">
            <w:pPr>
              <w:spacing w:after="160" w:line="259" w:lineRule="auto"/>
              <w:rPr>
                <w:b/>
                <w:bCs/>
                <w:color w:val="000000"/>
                <w:spacing w:val="0"/>
                <w:sz w:val="16"/>
                <w:szCs w:val="16"/>
              </w:rPr>
            </w:pPr>
          </w:p>
        </w:tc>
      </w:tr>
    </w:tbl>
    <w:p w:rsidR="00C8697D" w:rsidRPr="00C8697D" w:rsidRDefault="00C8697D" w:rsidP="00C8697D">
      <w:pPr>
        <w:jc w:val="both"/>
        <w:rPr>
          <w:rFonts w:eastAsiaTheme="minorHAnsi"/>
          <w:spacing w:val="0"/>
          <w:lang w:eastAsia="en-US"/>
        </w:rPr>
      </w:pPr>
    </w:p>
    <w:p w:rsidR="00C8697D" w:rsidRDefault="00C8697D" w:rsidP="002C6526">
      <w:pPr>
        <w:tabs>
          <w:tab w:val="left" w:pos="709"/>
        </w:tabs>
        <w:ind w:firstLine="709"/>
        <w:jc w:val="both"/>
        <w:rPr>
          <w:spacing w:val="0"/>
        </w:rPr>
        <w:sectPr w:rsidR="00C8697D" w:rsidSect="005C503D">
          <w:pgSz w:w="16838" w:h="11906" w:orient="landscape" w:code="9"/>
          <w:pgMar w:top="1021" w:right="567" w:bottom="510" w:left="907" w:header="709" w:footer="709" w:gutter="0"/>
          <w:pgNumType w:start="7"/>
          <w:cols w:space="708"/>
          <w:docGrid w:linePitch="381"/>
        </w:sectPr>
      </w:pPr>
    </w:p>
    <w:p w:rsidR="00326841" w:rsidRPr="005F2C80" w:rsidRDefault="00326841" w:rsidP="00326841">
      <w:pPr>
        <w:jc w:val="center"/>
        <w:rPr>
          <w:spacing w:val="0"/>
          <w:kern w:val="36"/>
        </w:rPr>
      </w:pPr>
      <w:r w:rsidRPr="005F2C80">
        <w:rPr>
          <w:spacing w:val="0"/>
          <w:kern w:val="36"/>
        </w:rPr>
        <w:lastRenderedPageBreak/>
        <w:t>6. Механизм реализации Программы</w:t>
      </w:r>
    </w:p>
    <w:p w:rsidR="00326841" w:rsidRPr="005F2C80" w:rsidRDefault="00326841" w:rsidP="00326841">
      <w:pPr>
        <w:ind w:firstLine="709"/>
        <w:rPr>
          <w:spacing w:val="0"/>
          <w:kern w:val="36"/>
        </w:rPr>
      </w:pPr>
    </w:p>
    <w:p w:rsidR="00326841" w:rsidRPr="005F2C80" w:rsidRDefault="00326841" w:rsidP="00326841">
      <w:pPr>
        <w:ind w:firstLine="709"/>
        <w:jc w:val="both"/>
        <w:rPr>
          <w:spacing w:val="0"/>
          <w:kern w:val="36"/>
        </w:rPr>
      </w:pPr>
      <w:r w:rsidRPr="005F2C80">
        <w:rPr>
          <w:spacing w:val="0"/>
          <w:kern w:val="36"/>
        </w:rPr>
        <w:t>5. Реализация Программы осуществляется ответственным исполнителем Программы совместно с исполнителем основных мероприятий Программы, а также с иными хозяйствующими субъектами, привлекаемыми в качестве субподрядчика.</w:t>
      </w:r>
    </w:p>
    <w:p w:rsidR="00326841" w:rsidRPr="005F2C80" w:rsidRDefault="00326841" w:rsidP="00326841">
      <w:pPr>
        <w:ind w:firstLine="709"/>
        <w:jc w:val="both"/>
        <w:rPr>
          <w:spacing w:val="0"/>
          <w:kern w:val="36"/>
        </w:rPr>
      </w:pPr>
      <w:r w:rsidRPr="005F2C80">
        <w:rPr>
          <w:spacing w:val="0"/>
          <w:kern w:val="36"/>
        </w:rPr>
        <w:t>Механизм реализации Программы основывается на Законе Приднестровской Молдавской Республики «Об электроэнергетике», Законе Приднестровской Молдавской Республики «О закупках в Приднестровской Молдавской Республике».</w:t>
      </w:r>
    </w:p>
    <w:p w:rsidR="00326841" w:rsidRPr="005F2C80" w:rsidRDefault="00326841" w:rsidP="00326841">
      <w:pPr>
        <w:ind w:firstLine="709"/>
        <w:jc w:val="both"/>
        <w:rPr>
          <w:spacing w:val="0"/>
          <w:kern w:val="36"/>
        </w:rPr>
      </w:pPr>
      <w:r w:rsidRPr="005F2C80">
        <w:rPr>
          <w:spacing w:val="0"/>
          <w:kern w:val="36"/>
        </w:rPr>
        <w:t>6. При реализации мероприятий по замене светильников должны соблюдаться требования государственных стандартов в области наружного освещения, строительных норм и правил, пожарной безопасности, санитарно-эпидемиологического благополучия населения, охраны окружающей среды и други</w:t>
      </w:r>
      <w:r w:rsidR="00DB4162">
        <w:rPr>
          <w:spacing w:val="0"/>
          <w:kern w:val="36"/>
        </w:rPr>
        <w:t>е</w:t>
      </w:r>
      <w:r w:rsidRPr="005F2C80">
        <w:rPr>
          <w:spacing w:val="0"/>
          <w:kern w:val="36"/>
        </w:rPr>
        <w:t xml:space="preserve"> предусмотренны</w:t>
      </w:r>
      <w:r w:rsidR="00DB4162">
        <w:rPr>
          <w:spacing w:val="0"/>
          <w:kern w:val="36"/>
        </w:rPr>
        <w:t>е</w:t>
      </w:r>
      <w:r w:rsidRPr="005F2C80">
        <w:rPr>
          <w:spacing w:val="0"/>
          <w:kern w:val="36"/>
        </w:rPr>
        <w:t xml:space="preserve"> действующим законодательством Приднестровской Молдавской Республики требовани</w:t>
      </w:r>
      <w:r w:rsidR="00DB4162">
        <w:rPr>
          <w:spacing w:val="0"/>
          <w:kern w:val="36"/>
        </w:rPr>
        <w:t>я</w:t>
      </w:r>
      <w:r w:rsidRPr="005F2C80">
        <w:rPr>
          <w:spacing w:val="0"/>
          <w:kern w:val="36"/>
        </w:rPr>
        <w:t>.</w:t>
      </w:r>
    </w:p>
    <w:p w:rsidR="002C6526" w:rsidRPr="002C6526" w:rsidRDefault="002C6526" w:rsidP="002C6526">
      <w:pPr>
        <w:ind w:firstLine="709"/>
        <w:rPr>
          <w:spacing w:val="0"/>
        </w:rPr>
      </w:pPr>
    </w:p>
    <w:p w:rsidR="009E5037" w:rsidRDefault="009E5037" w:rsidP="00C8697D">
      <w:pPr>
        <w:shd w:val="clear" w:color="auto" w:fill="FFFFFF"/>
        <w:ind w:firstLine="709"/>
        <w:jc w:val="center"/>
        <w:rPr>
          <w:spacing w:val="0"/>
        </w:rPr>
      </w:pPr>
      <w:r w:rsidRPr="005F2C80">
        <w:rPr>
          <w:spacing w:val="0"/>
        </w:rPr>
        <w:t>7.</w:t>
      </w:r>
      <w:r w:rsidRPr="005F2C80">
        <w:rPr>
          <w:spacing w:val="0"/>
          <w:lang w:val="ro-RO"/>
        </w:rPr>
        <w:t xml:space="preserve"> </w:t>
      </w:r>
      <w:r w:rsidRPr="005F2C80">
        <w:rPr>
          <w:spacing w:val="0"/>
        </w:rPr>
        <w:t>Финансовое обеспечение реализации Программы</w:t>
      </w:r>
    </w:p>
    <w:p w:rsidR="00C56792" w:rsidRDefault="00C56792" w:rsidP="00C8697D">
      <w:pPr>
        <w:shd w:val="clear" w:color="auto" w:fill="FFFFFF"/>
        <w:ind w:firstLine="709"/>
        <w:jc w:val="center"/>
        <w:rPr>
          <w:spacing w:val="0"/>
        </w:rPr>
      </w:pPr>
    </w:p>
    <w:p w:rsidR="00C56792" w:rsidRDefault="00C56792" w:rsidP="00F14AAF">
      <w:pPr>
        <w:shd w:val="clear" w:color="auto" w:fill="FFFFFF"/>
        <w:jc w:val="both"/>
        <w:rPr>
          <w:b/>
          <w:i/>
          <w:spacing w:val="0"/>
          <w:sz w:val="24"/>
          <w:szCs w:val="24"/>
        </w:rPr>
      </w:pPr>
      <w:r w:rsidRPr="00C56792">
        <w:rPr>
          <w:b/>
          <w:i/>
          <w:spacing w:val="0"/>
          <w:sz w:val="24"/>
          <w:szCs w:val="24"/>
        </w:rPr>
        <w:t xml:space="preserve">-- Часть первая пункта 7 главы 7 Приложения </w:t>
      </w:r>
      <w:r w:rsidRPr="00F14AAF">
        <w:rPr>
          <w:b/>
          <w:i/>
          <w:color w:val="538135" w:themeColor="accent6" w:themeShade="BF"/>
          <w:spacing w:val="0"/>
          <w:sz w:val="24"/>
          <w:szCs w:val="24"/>
        </w:rPr>
        <w:t xml:space="preserve">в новой редакции </w:t>
      </w:r>
      <w:r w:rsidRPr="00C56792">
        <w:rPr>
          <w:b/>
          <w:i/>
          <w:spacing w:val="0"/>
          <w:sz w:val="24"/>
          <w:szCs w:val="24"/>
        </w:rPr>
        <w:t>(Закон № 77-ЗИ-</w:t>
      </w:r>
      <w:r w:rsidRPr="00C56792">
        <w:rPr>
          <w:b/>
          <w:i/>
          <w:spacing w:val="0"/>
          <w:sz w:val="24"/>
          <w:szCs w:val="24"/>
          <w:lang w:val="en-US"/>
        </w:rPr>
        <w:t>VII</w:t>
      </w:r>
      <w:r w:rsidRPr="00C56792">
        <w:rPr>
          <w:b/>
          <w:i/>
          <w:spacing w:val="0"/>
          <w:sz w:val="24"/>
          <w:szCs w:val="24"/>
        </w:rPr>
        <w:t xml:space="preserve"> от 27.05.25г.);</w:t>
      </w:r>
    </w:p>
    <w:p w:rsidR="00D240C9" w:rsidRPr="00C56792" w:rsidRDefault="00D240C9" w:rsidP="00C56792">
      <w:pPr>
        <w:shd w:val="clear" w:color="auto" w:fill="FFFFFF"/>
        <w:rPr>
          <w:b/>
          <w:i/>
          <w:spacing w:val="0"/>
          <w:sz w:val="24"/>
          <w:szCs w:val="24"/>
        </w:rPr>
      </w:pPr>
      <w:r>
        <w:rPr>
          <w:b/>
          <w:i/>
          <w:spacing w:val="0"/>
          <w:sz w:val="24"/>
          <w:szCs w:val="24"/>
        </w:rPr>
        <w:t>-- Пункт 9 главы 7 Приложения исключен (</w:t>
      </w:r>
      <w:r w:rsidRPr="00C56792">
        <w:rPr>
          <w:b/>
          <w:i/>
          <w:spacing w:val="0"/>
          <w:sz w:val="24"/>
          <w:szCs w:val="24"/>
        </w:rPr>
        <w:t>Закон № 77-ЗИ-</w:t>
      </w:r>
      <w:r w:rsidRPr="00C56792">
        <w:rPr>
          <w:b/>
          <w:i/>
          <w:spacing w:val="0"/>
          <w:sz w:val="24"/>
          <w:szCs w:val="24"/>
          <w:lang w:val="en-US"/>
        </w:rPr>
        <w:t>VII</w:t>
      </w:r>
      <w:r w:rsidRPr="00C56792">
        <w:rPr>
          <w:b/>
          <w:i/>
          <w:spacing w:val="0"/>
          <w:sz w:val="24"/>
          <w:szCs w:val="24"/>
        </w:rPr>
        <w:t xml:space="preserve"> от 27.05.25г.);</w:t>
      </w:r>
    </w:p>
    <w:p w:rsidR="009E5037" w:rsidRPr="005F2C80" w:rsidRDefault="009E5037" w:rsidP="009E5037">
      <w:pPr>
        <w:shd w:val="clear" w:color="auto" w:fill="FFFFFF"/>
        <w:ind w:firstLine="709"/>
        <w:jc w:val="both"/>
        <w:rPr>
          <w:spacing w:val="0"/>
        </w:rPr>
      </w:pPr>
    </w:p>
    <w:p w:rsidR="00C56792" w:rsidRDefault="009E5037" w:rsidP="009E5037">
      <w:pPr>
        <w:shd w:val="clear" w:color="auto" w:fill="FFFFFF"/>
        <w:ind w:firstLine="709"/>
        <w:jc w:val="both"/>
      </w:pPr>
      <w:r w:rsidRPr="005F2C80">
        <w:rPr>
          <w:spacing w:val="0"/>
        </w:rPr>
        <w:t xml:space="preserve">7. </w:t>
      </w:r>
      <w:r w:rsidR="00C56792" w:rsidRPr="00AB7144">
        <w:t>Источником финансирования Программы в части оплаты стоимости светодиодных светильников и материалов для их монтажа являются средства республиканского бюджета Приднестровской Молдавской Республики, не имеющие целевого назначения</w:t>
      </w:r>
      <w:r w:rsidR="00C56792">
        <w:t>.</w:t>
      </w:r>
    </w:p>
    <w:p w:rsidR="009E5037" w:rsidRPr="005F2C80" w:rsidRDefault="009E5037" w:rsidP="009E5037">
      <w:pPr>
        <w:shd w:val="clear" w:color="auto" w:fill="FFFFFF"/>
        <w:ind w:firstLine="709"/>
        <w:jc w:val="both"/>
        <w:rPr>
          <w:spacing w:val="0"/>
        </w:rPr>
      </w:pPr>
      <w:r w:rsidRPr="005F2C80">
        <w:rPr>
          <w:spacing w:val="0"/>
        </w:rPr>
        <w:t>Финансирование работ по замене светильников с ртутьсодержащими лампами на светодиодные светильники уличного освещения осуществля</w:t>
      </w:r>
      <w:r w:rsidR="001878AB">
        <w:rPr>
          <w:spacing w:val="0"/>
        </w:rPr>
        <w:t>е</w:t>
      </w:r>
      <w:r w:rsidRPr="005F2C80">
        <w:rPr>
          <w:spacing w:val="0"/>
        </w:rPr>
        <w:t>тся за счет средств исполнителя основных мероприятий Программы, на балансе которого находятся сети уличного освещения.</w:t>
      </w:r>
    </w:p>
    <w:p w:rsidR="009E5037" w:rsidRPr="005F2C80" w:rsidRDefault="009E5037" w:rsidP="009E5037">
      <w:pPr>
        <w:shd w:val="clear" w:color="auto" w:fill="FFFFFF"/>
        <w:ind w:firstLine="709"/>
        <w:jc w:val="both"/>
        <w:rPr>
          <w:spacing w:val="0"/>
        </w:rPr>
      </w:pPr>
      <w:r w:rsidRPr="005F2C80">
        <w:rPr>
          <w:spacing w:val="0"/>
        </w:rPr>
        <w:t>Работы, указанные в части второй настоящего пункта в рамках настоящей Программы, включают:</w:t>
      </w:r>
    </w:p>
    <w:p w:rsidR="009E5037" w:rsidRPr="005F2C80" w:rsidRDefault="009E5037" w:rsidP="009E5037">
      <w:pPr>
        <w:shd w:val="clear" w:color="auto" w:fill="FFFFFF"/>
        <w:ind w:firstLine="709"/>
        <w:jc w:val="both"/>
        <w:rPr>
          <w:spacing w:val="0"/>
        </w:rPr>
      </w:pPr>
      <w:r w:rsidRPr="005F2C80">
        <w:rPr>
          <w:spacing w:val="0"/>
        </w:rPr>
        <w:t xml:space="preserve">а) демонтаж светильников </w:t>
      </w:r>
      <w:r w:rsidR="00DA5F6B">
        <w:rPr>
          <w:spacing w:val="0"/>
        </w:rPr>
        <w:t xml:space="preserve">с </w:t>
      </w:r>
      <w:r w:rsidR="00DA5F6B" w:rsidRPr="005F2C80">
        <w:rPr>
          <w:spacing w:val="0"/>
        </w:rPr>
        <w:t>ртутьсодержащи</w:t>
      </w:r>
      <w:r w:rsidR="00DA5F6B">
        <w:rPr>
          <w:spacing w:val="0"/>
        </w:rPr>
        <w:t>ми лампами</w:t>
      </w:r>
      <w:r w:rsidR="00DA5F6B" w:rsidRPr="005F2C80">
        <w:rPr>
          <w:spacing w:val="0"/>
        </w:rPr>
        <w:t xml:space="preserve"> </w:t>
      </w:r>
      <w:r w:rsidRPr="005F2C80">
        <w:rPr>
          <w:spacing w:val="0"/>
        </w:rPr>
        <w:t xml:space="preserve">уличного освещения; </w:t>
      </w:r>
    </w:p>
    <w:p w:rsidR="009E5037" w:rsidRPr="005F2C80" w:rsidRDefault="009E5037" w:rsidP="009E5037">
      <w:pPr>
        <w:shd w:val="clear" w:color="auto" w:fill="FFFFFF"/>
        <w:ind w:firstLine="709"/>
        <w:jc w:val="both"/>
        <w:rPr>
          <w:spacing w:val="0"/>
        </w:rPr>
      </w:pPr>
      <w:r w:rsidRPr="005F2C80">
        <w:rPr>
          <w:spacing w:val="0"/>
        </w:rPr>
        <w:t>б) монтаж светодиодных светильников уличного освещения;</w:t>
      </w:r>
    </w:p>
    <w:p w:rsidR="009E5037" w:rsidRPr="005F2C80" w:rsidRDefault="009E5037" w:rsidP="009E5037">
      <w:pPr>
        <w:shd w:val="clear" w:color="auto" w:fill="FFFFFF"/>
        <w:ind w:firstLine="709"/>
        <w:jc w:val="both"/>
        <w:rPr>
          <w:spacing w:val="0"/>
        </w:rPr>
      </w:pPr>
      <w:r w:rsidRPr="005F2C80">
        <w:rPr>
          <w:spacing w:val="0"/>
        </w:rPr>
        <w:t xml:space="preserve">в) утилизацию </w:t>
      </w:r>
      <w:r w:rsidR="00DA5F6B" w:rsidRPr="005F2C80">
        <w:rPr>
          <w:spacing w:val="0"/>
        </w:rPr>
        <w:t xml:space="preserve">светильников </w:t>
      </w:r>
      <w:r w:rsidR="00DA5F6B">
        <w:rPr>
          <w:spacing w:val="0"/>
        </w:rPr>
        <w:t xml:space="preserve">с </w:t>
      </w:r>
      <w:r w:rsidR="00DA5F6B" w:rsidRPr="005F2C80">
        <w:rPr>
          <w:spacing w:val="0"/>
        </w:rPr>
        <w:t>ртутьсодержащи</w:t>
      </w:r>
      <w:r w:rsidR="00DA5F6B">
        <w:rPr>
          <w:spacing w:val="0"/>
        </w:rPr>
        <w:t>ми лампами</w:t>
      </w:r>
      <w:r w:rsidR="00DA5F6B" w:rsidRPr="005F2C80">
        <w:rPr>
          <w:spacing w:val="0"/>
        </w:rPr>
        <w:t xml:space="preserve"> уличного освещения</w:t>
      </w:r>
      <w:r w:rsidRPr="005F2C80">
        <w:rPr>
          <w:spacing w:val="0"/>
        </w:rPr>
        <w:t>.</w:t>
      </w:r>
    </w:p>
    <w:p w:rsidR="009E5037" w:rsidRPr="005F2C80" w:rsidRDefault="009E5037" w:rsidP="009E5037">
      <w:pPr>
        <w:shd w:val="clear" w:color="auto" w:fill="FFFFFF"/>
        <w:ind w:firstLine="709"/>
        <w:jc w:val="both"/>
        <w:rPr>
          <w:spacing w:val="0"/>
        </w:rPr>
      </w:pPr>
      <w:r w:rsidRPr="005F2C80">
        <w:rPr>
          <w:spacing w:val="0"/>
        </w:rPr>
        <w:t>8. Финансирование Программы из средств республиканского бюджета осуществляется в размере сумм, утвержденных законом Приднестровской Молдавской Республики о республиканском бюджете на соответствующий финансовый год.</w:t>
      </w:r>
    </w:p>
    <w:p w:rsidR="009E5037" w:rsidRPr="005F2C80" w:rsidRDefault="009E5037" w:rsidP="00D240C9">
      <w:pPr>
        <w:shd w:val="clear" w:color="auto" w:fill="FFFFFF"/>
        <w:ind w:firstLine="709"/>
        <w:jc w:val="both"/>
        <w:rPr>
          <w:spacing w:val="0"/>
        </w:rPr>
      </w:pPr>
      <w:r w:rsidRPr="005F2C80">
        <w:rPr>
          <w:spacing w:val="0"/>
        </w:rPr>
        <w:t xml:space="preserve">9. </w:t>
      </w:r>
      <w:bookmarkStart w:id="1" w:name="_GoBack"/>
      <w:r w:rsidR="006D116A">
        <w:rPr>
          <w:spacing w:val="0"/>
        </w:rPr>
        <w:t>И</w:t>
      </w:r>
      <w:bookmarkEnd w:id="1"/>
      <w:r w:rsidR="00D240C9">
        <w:rPr>
          <w:spacing w:val="0"/>
        </w:rPr>
        <w:t>сключен.</w:t>
      </w:r>
    </w:p>
    <w:p w:rsidR="009E5037" w:rsidRPr="005F2C80" w:rsidRDefault="009E5037" w:rsidP="009E5037">
      <w:pPr>
        <w:shd w:val="clear" w:color="auto" w:fill="FFFFFF"/>
        <w:ind w:firstLine="709"/>
        <w:jc w:val="both"/>
        <w:rPr>
          <w:spacing w:val="0"/>
        </w:rPr>
      </w:pPr>
      <w:r w:rsidRPr="005F2C80">
        <w:rPr>
          <w:spacing w:val="0"/>
        </w:rPr>
        <w:t xml:space="preserve">10. Мероприятия, объем финансирования и сроки исполнения Программы определены в главе 5 настоящей Программы и могут уточняться </w:t>
      </w:r>
      <w:r w:rsidRPr="005F2C80">
        <w:rPr>
          <w:spacing w:val="0"/>
        </w:rPr>
        <w:lastRenderedPageBreak/>
        <w:t>при принятии закона о республиканском бюджете на соответствующий финансовый год.</w:t>
      </w:r>
    </w:p>
    <w:p w:rsidR="009E5037" w:rsidRPr="005F2C80" w:rsidRDefault="009E5037" w:rsidP="002C6526">
      <w:pPr>
        <w:shd w:val="clear" w:color="auto" w:fill="FFFFFF"/>
        <w:ind w:firstLine="709"/>
        <w:jc w:val="both"/>
        <w:rPr>
          <w:spacing w:val="0"/>
        </w:rPr>
      </w:pPr>
    </w:p>
    <w:p w:rsidR="005F2C80" w:rsidRPr="005F2C80" w:rsidRDefault="005F2C80" w:rsidP="005F2C80">
      <w:pPr>
        <w:shd w:val="clear" w:color="auto" w:fill="FFFFFF"/>
        <w:jc w:val="center"/>
        <w:rPr>
          <w:bCs/>
          <w:spacing w:val="0"/>
        </w:rPr>
      </w:pPr>
      <w:r w:rsidRPr="005F2C80">
        <w:rPr>
          <w:bCs/>
          <w:spacing w:val="0"/>
        </w:rPr>
        <w:t>8. Права и обязанности ответственного исполнителя Программы</w:t>
      </w:r>
    </w:p>
    <w:p w:rsidR="005F2C80" w:rsidRPr="005F2C80" w:rsidRDefault="005F2C80" w:rsidP="005F2C80">
      <w:pPr>
        <w:shd w:val="clear" w:color="auto" w:fill="FFFFFF"/>
        <w:jc w:val="center"/>
        <w:rPr>
          <w:bCs/>
          <w:spacing w:val="0"/>
        </w:rPr>
      </w:pPr>
    </w:p>
    <w:p w:rsidR="005F2C80" w:rsidRPr="005F2C80" w:rsidRDefault="005F2C80" w:rsidP="005F2C80">
      <w:pPr>
        <w:shd w:val="clear" w:color="auto" w:fill="FFFFFF"/>
        <w:ind w:firstLine="709"/>
        <w:jc w:val="both"/>
        <w:rPr>
          <w:bCs/>
          <w:spacing w:val="0"/>
        </w:rPr>
      </w:pPr>
      <w:r w:rsidRPr="005F2C80">
        <w:rPr>
          <w:bCs/>
          <w:spacing w:val="0"/>
        </w:rPr>
        <w:t xml:space="preserve">11. В рамках реализации Программы ответственный исполнитель Программы:  </w:t>
      </w:r>
    </w:p>
    <w:p w:rsidR="005F2C80" w:rsidRPr="005F2C80" w:rsidRDefault="005F2C80" w:rsidP="005F2C80">
      <w:pPr>
        <w:shd w:val="clear" w:color="auto" w:fill="FFFFFF"/>
        <w:ind w:firstLine="709"/>
        <w:jc w:val="both"/>
        <w:rPr>
          <w:bCs/>
          <w:spacing w:val="0"/>
        </w:rPr>
      </w:pPr>
      <w:r w:rsidRPr="005F2C80">
        <w:rPr>
          <w:bCs/>
          <w:spacing w:val="0"/>
        </w:rPr>
        <w:t>а) формирует структуру мероприятий Программы;</w:t>
      </w:r>
    </w:p>
    <w:p w:rsidR="005F2C80" w:rsidRPr="005F2C80" w:rsidRDefault="005F2C80" w:rsidP="005F2C80">
      <w:pPr>
        <w:shd w:val="clear" w:color="auto" w:fill="FFFFFF"/>
        <w:ind w:firstLine="709"/>
        <w:jc w:val="both"/>
        <w:rPr>
          <w:bCs/>
          <w:spacing w:val="0"/>
        </w:rPr>
      </w:pPr>
      <w:r w:rsidRPr="005F2C80">
        <w:rPr>
          <w:bCs/>
          <w:spacing w:val="0"/>
        </w:rPr>
        <w:t xml:space="preserve">б) организует реализацию мероприятий Программы, осуществляет мониторинг хода выполнения мероприятий Программы и разрабатывает, при необходимости, изменения </w:t>
      </w:r>
      <w:r w:rsidR="001878AB">
        <w:rPr>
          <w:bCs/>
          <w:spacing w:val="0"/>
        </w:rPr>
        <w:t xml:space="preserve">для внесения </w:t>
      </w:r>
      <w:r w:rsidRPr="005F2C80">
        <w:rPr>
          <w:bCs/>
          <w:spacing w:val="0"/>
        </w:rPr>
        <w:t>в Программу;</w:t>
      </w:r>
    </w:p>
    <w:p w:rsidR="005F2C80" w:rsidRPr="005F2C80" w:rsidRDefault="005F2C80" w:rsidP="005F2C80">
      <w:pPr>
        <w:shd w:val="clear" w:color="auto" w:fill="FFFFFF"/>
        <w:ind w:firstLine="709"/>
        <w:jc w:val="both"/>
        <w:rPr>
          <w:bCs/>
          <w:spacing w:val="0"/>
        </w:rPr>
      </w:pPr>
      <w:r w:rsidRPr="005F2C80">
        <w:rPr>
          <w:bCs/>
          <w:spacing w:val="0"/>
        </w:rPr>
        <w:t>в) проводит оценку эффективности мероприятий Программы;</w:t>
      </w:r>
    </w:p>
    <w:p w:rsidR="005F2C80" w:rsidRPr="005F2C80" w:rsidRDefault="005F2C80" w:rsidP="005F2C80">
      <w:pPr>
        <w:shd w:val="clear" w:color="auto" w:fill="FFFFFF"/>
        <w:ind w:firstLine="709"/>
        <w:jc w:val="both"/>
        <w:rPr>
          <w:bCs/>
          <w:spacing w:val="0"/>
        </w:rPr>
      </w:pPr>
      <w:r w:rsidRPr="005F2C80">
        <w:rPr>
          <w:bCs/>
          <w:spacing w:val="0"/>
        </w:rPr>
        <w:t>г) подготавливает ежегодный, итоговый отчеты об исполнении Программы и представляет их в Правительство Приднестровской Молдавской Республики.</w:t>
      </w:r>
    </w:p>
    <w:p w:rsidR="005F2C80" w:rsidRPr="005F2C80" w:rsidRDefault="005F2C80" w:rsidP="005F2C80">
      <w:pPr>
        <w:shd w:val="clear" w:color="auto" w:fill="FFFFFF"/>
        <w:ind w:firstLine="709"/>
        <w:jc w:val="both"/>
        <w:rPr>
          <w:bCs/>
          <w:spacing w:val="0"/>
        </w:rPr>
      </w:pPr>
      <w:r w:rsidRPr="005F2C80">
        <w:rPr>
          <w:bCs/>
          <w:spacing w:val="0"/>
        </w:rPr>
        <w:t>12. Ответственный исполнитель Программы обязан координировать деятельность исполнителя основных мероприятий Программы в рамках реализации Программы.</w:t>
      </w:r>
    </w:p>
    <w:p w:rsidR="005F2C80" w:rsidRPr="005F2C80" w:rsidRDefault="005F2C80" w:rsidP="005F2C80">
      <w:pPr>
        <w:shd w:val="clear" w:color="auto" w:fill="FFFFFF"/>
        <w:ind w:firstLine="709"/>
        <w:jc w:val="both"/>
        <w:rPr>
          <w:spacing w:val="0"/>
        </w:rPr>
      </w:pPr>
      <w:r w:rsidRPr="005F2C80">
        <w:rPr>
          <w:spacing w:val="0"/>
        </w:rPr>
        <w:t xml:space="preserve">13. Ответственность за целевое и эффективное расходование </w:t>
      </w:r>
      <w:r w:rsidR="002C1057">
        <w:rPr>
          <w:spacing w:val="0"/>
        </w:rPr>
        <w:t>бюджетных</w:t>
      </w:r>
      <w:r w:rsidRPr="005F2C80">
        <w:rPr>
          <w:spacing w:val="0"/>
        </w:rPr>
        <w:t xml:space="preserve"> средств в рамках реализации мероприятий, предусмотренных Программой, направленных на реализацию настоящей Программы</w:t>
      </w:r>
      <w:r w:rsidR="001878AB">
        <w:rPr>
          <w:spacing w:val="0"/>
        </w:rPr>
        <w:t>,</w:t>
      </w:r>
      <w:r w:rsidRPr="005F2C80">
        <w:rPr>
          <w:spacing w:val="0"/>
        </w:rPr>
        <w:t xml:space="preserve"> несет ответственный исполнитель Программы.</w:t>
      </w:r>
    </w:p>
    <w:p w:rsidR="005F2C80" w:rsidRPr="002C6526" w:rsidRDefault="005F2C80" w:rsidP="002C6526">
      <w:pPr>
        <w:ind w:firstLine="709"/>
        <w:contextualSpacing/>
        <w:jc w:val="both"/>
        <w:rPr>
          <w:spacing w:val="0"/>
          <w:lang w:eastAsia="zh-CN"/>
        </w:rPr>
      </w:pPr>
    </w:p>
    <w:p w:rsidR="009E5037" w:rsidRPr="005F2C80" w:rsidRDefault="009E5037" w:rsidP="009E5037">
      <w:pPr>
        <w:ind w:firstLine="709"/>
        <w:jc w:val="both"/>
        <w:rPr>
          <w:spacing w:val="0"/>
        </w:rPr>
      </w:pPr>
      <w:r w:rsidRPr="005F2C80">
        <w:rPr>
          <w:spacing w:val="0"/>
        </w:rPr>
        <w:t xml:space="preserve">9. Права и обязанности </w:t>
      </w:r>
      <w:r w:rsidRPr="005F2C80">
        <w:rPr>
          <w:bCs/>
          <w:spacing w:val="0"/>
        </w:rPr>
        <w:t>исполнителя основных мероприятий П</w:t>
      </w:r>
      <w:r w:rsidRPr="005F2C80">
        <w:rPr>
          <w:spacing w:val="0"/>
        </w:rPr>
        <w:t>рограммы</w:t>
      </w:r>
    </w:p>
    <w:p w:rsidR="009E5037" w:rsidRPr="005F2C80" w:rsidRDefault="009E5037" w:rsidP="009E5037">
      <w:pPr>
        <w:ind w:firstLine="709"/>
        <w:jc w:val="both"/>
        <w:rPr>
          <w:spacing w:val="0"/>
        </w:rPr>
      </w:pPr>
    </w:p>
    <w:p w:rsidR="009E5037" w:rsidRPr="005F2C80" w:rsidRDefault="009E5037" w:rsidP="009E5037">
      <w:pPr>
        <w:ind w:firstLine="709"/>
        <w:jc w:val="both"/>
        <w:rPr>
          <w:spacing w:val="0"/>
        </w:rPr>
      </w:pPr>
      <w:r w:rsidRPr="005F2C80">
        <w:rPr>
          <w:spacing w:val="0"/>
        </w:rPr>
        <w:t xml:space="preserve">14. В ходе реализации Программы на </w:t>
      </w:r>
      <w:r w:rsidRPr="005F2C80">
        <w:rPr>
          <w:bCs/>
          <w:spacing w:val="0"/>
        </w:rPr>
        <w:t>исполнителя основных мероприятий П</w:t>
      </w:r>
      <w:r w:rsidRPr="005F2C80">
        <w:rPr>
          <w:spacing w:val="0"/>
        </w:rPr>
        <w:t xml:space="preserve">рограммы </w:t>
      </w:r>
      <w:r w:rsidR="00DD63C5">
        <w:rPr>
          <w:spacing w:val="0"/>
        </w:rPr>
        <w:t>–</w:t>
      </w:r>
      <w:r w:rsidRPr="005F2C80">
        <w:rPr>
          <w:spacing w:val="0"/>
        </w:rPr>
        <w:t xml:space="preserve"> государственное унитарное предприятие «Единые распределительные электрические сети» возлагаются обязательства: </w:t>
      </w:r>
    </w:p>
    <w:p w:rsidR="009E5037" w:rsidRPr="005F2C80" w:rsidRDefault="009E5037" w:rsidP="009E5037">
      <w:pPr>
        <w:ind w:firstLine="709"/>
        <w:jc w:val="both"/>
        <w:rPr>
          <w:spacing w:val="0"/>
        </w:rPr>
      </w:pPr>
      <w:r w:rsidRPr="005F2C80">
        <w:rPr>
          <w:spacing w:val="0"/>
        </w:rPr>
        <w:t>а) по выполнению работ в соответствии с технической документацией, определяющей способы, виды, объемы и стоимость работ;</w:t>
      </w:r>
    </w:p>
    <w:p w:rsidR="009E5037" w:rsidRPr="005F2C80" w:rsidRDefault="009E5037" w:rsidP="009E5037">
      <w:pPr>
        <w:ind w:firstLine="709"/>
        <w:jc w:val="both"/>
        <w:rPr>
          <w:spacing w:val="0"/>
        </w:rPr>
      </w:pPr>
      <w:r w:rsidRPr="005F2C80">
        <w:rPr>
          <w:spacing w:val="0"/>
        </w:rPr>
        <w:t xml:space="preserve">б) по представлению </w:t>
      </w:r>
      <w:r w:rsidR="002C1057">
        <w:rPr>
          <w:spacing w:val="0"/>
        </w:rPr>
        <w:t xml:space="preserve">государственному </w:t>
      </w:r>
      <w:r w:rsidRPr="005F2C80">
        <w:rPr>
          <w:spacing w:val="0"/>
        </w:rPr>
        <w:t>заказчику Программы отчетов о ходе выполнения работ;</w:t>
      </w:r>
    </w:p>
    <w:p w:rsidR="009E5037" w:rsidRPr="005F2C80" w:rsidRDefault="009E5037" w:rsidP="009E5037">
      <w:pPr>
        <w:ind w:firstLine="709"/>
        <w:jc w:val="both"/>
        <w:rPr>
          <w:spacing w:val="0"/>
        </w:rPr>
      </w:pPr>
      <w:r w:rsidRPr="005F2C80">
        <w:rPr>
          <w:spacing w:val="0"/>
        </w:rPr>
        <w:t xml:space="preserve">в) при формировании ежегодных графиков замены светильников с ртутьсодержащими лампами уличного освещения вдоль автомобильных дорог общего пользования Приднестровской Молдавской Республики, находящихся в муниципальной собственности, на светодиодные светильники согласовывать участки </w:t>
      </w:r>
      <w:r w:rsidR="002C1057">
        <w:rPr>
          <w:spacing w:val="0"/>
        </w:rPr>
        <w:t xml:space="preserve">автомобильных дорог общего пользования, на которых в рамках используемой Программы подлежат замене светильники с </w:t>
      </w:r>
      <w:r w:rsidR="002C1057" w:rsidRPr="005F2C80">
        <w:rPr>
          <w:spacing w:val="0"/>
        </w:rPr>
        <w:t>ртутьсодержащи</w:t>
      </w:r>
      <w:r w:rsidR="002C1057">
        <w:rPr>
          <w:spacing w:val="0"/>
        </w:rPr>
        <w:t>ми лампами уличного освещения,</w:t>
      </w:r>
      <w:r w:rsidR="002C1057" w:rsidRPr="005F2C80">
        <w:rPr>
          <w:spacing w:val="0"/>
        </w:rPr>
        <w:t xml:space="preserve"> </w:t>
      </w:r>
      <w:r w:rsidRPr="005F2C80">
        <w:rPr>
          <w:spacing w:val="0"/>
        </w:rPr>
        <w:t>с государственными администрациями городов (районов);</w:t>
      </w:r>
    </w:p>
    <w:p w:rsidR="009E5037" w:rsidRPr="005F2C80" w:rsidRDefault="009E5037" w:rsidP="009E5037">
      <w:pPr>
        <w:ind w:firstLine="709"/>
        <w:jc w:val="both"/>
        <w:rPr>
          <w:spacing w:val="0"/>
        </w:rPr>
      </w:pPr>
      <w:r w:rsidRPr="005F2C80">
        <w:rPr>
          <w:spacing w:val="0"/>
        </w:rPr>
        <w:t>г) по своевременному, полному и достоверному информированию заказчика Программы о положении дел в рамках проводимых мероприятий, предусмотренных Программой.</w:t>
      </w:r>
    </w:p>
    <w:p w:rsidR="009E5037" w:rsidRPr="005F2C80" w:rsidRDefault="009E5037" w:rsidP="009E5037">
      <w:pPr>
        <w:ind w:firstLine="709"/>
        <w:jc w:val="both"/>
        <w:rPr>
          <w:spacing w:val="0"/>
        </w:rPr>
      </w:pPr>
      <w:r w:rsidRPr="005F2C80">
        <w:rPr>
          <w:bCs/>
          <w:spacing w:val="0"/>
        </w:rPr>
        <w:lastRenderedPageBreak/>
        <w:t>15. Исполнитель основных мероприятий П</w:t>
      </w:r>
      <w:r w:rsidRPr="005F2C80">
        <w:rPr>
          <w:spacing w:val="0"/>
        </w:rPr>
        <w:t>рограммы обладает правом выбора способов, механизмов и технических средств для выполнения работ по реализации мероприятий, предусмотренных Программой.</w:t>
      </w:r>
    </w:p>
    <w:p w:rsidR="009E5037" w:rsidRPr="005F2C80" w:rsidRDefault="009E5037" w:rsidP="00883911">
      <w:pPr>
        <w:ind w:firstLine="709"/>
        <w:jc w:val="both"/>
        <w:rPr>
          <w:spacing w:val="0"/>
        </w:rPr>
      </w:pPr>
    </w:p>
    <w:p w:rsidR="009E5037" w:rsidRPr="005F2C80" w:rsidRDefault="009E5037" w:rsidP="009E5037">
      <w:pPr>
        <w:ind w:firstLine="709"/>
        <w:jc w:val="center"/>
        <w:rPr>
          <w:spacing w:val="0"/>
        </w:rPr>
      </w:pPr>
      <w:r w:rsidRPr="005F2C80">
        <w:rPr>
          <w:spacing w:val="0"/>
        </w:rPr>
        <w:t>10. Критерии оценки социально-экономической эффективности реализации Программы</w:t>
      </w:r>
    </w:p>
    <w:p w:rsidR="009E5037" w:rsidRPr="005F2C80" w:rsidRDefault="009E5037" w:rsidP="009E5037">
      <w:pPr>
        <w:ind w:firstLine="709"/>
        <w:jc w:val="both"/>
        <w:rPr>
          <w:spacing w:val="0"/>
        </w:rPr>
      </w:pPr>
    </w:p>
    <w:p w:rsidR="009E5037" w:rsidRPr="005F2C80" w:rsidRDefault="009E5037" w:rsidP="009E5037">
      <w:pPr>
        <w:ind w:firstLine="709"/>
        <w:jc w:val="both"/>
        <w:rPr>
          <w:spacing w:val="0"/>
        </w:rPr>
      </w:pPr>
      <w:r w:rsidRPr="005F2C80">
        <w:rPr>
          <w:spacing w:val="0"/>
        </w:rPr>
        <w:t>16. К критериям оценки социально-экономической эффективности мероприятий, реализуемых в рамках Программы, следует относить:</w:t>
      </w:r>
    </w:p>
    <w:p w:rsidR="009E5037" w:rsidRPr="005F2C80" w:rsidRDefault="009E5037" w:rsidP="009E5037">
      <w:pPr>
        <w:ind w:firstLine="709"/>
        <w:jc w:val="both"/>
        <w:rPr>
          <w:spacing w:val="0"/>
        </w:rPr>
      </w:pPr>
      <w:r w:rsidRPr="005F2C80">
        <w:rPr>
          <w:spacing w:val="0"/>
        </w:rPr>
        <w:t>а) объем освоения денежных средств, предусмотренных на реализацию Программы;</w:t>
      </w:r>
    </w:p>
    <w:p w:rsidR="009E5037" w:rsidRPr="005F2C80" w:rsidRDefault="009E5037" w:rsidP="009E5037">
      <w:pPr>
        <w:ind w:firstLine="709"/>
        <w:jc w:val="both"/>
        <w:rPr>
          <w:spacing w:val="0"/>
        </w:rPr>
      </w:pPr>
      <w:r w:rsidRPr="005F2C80">
        <w:rPr>
          <w:spacing w:val="0"/>
        </w:rPr>
        <w:t>б) количество введенных в эксплуатацию реконструированных объектов уличного освещения (количество установленных светильников);</w:t>
      </w:r>
    </w:p>
    <w:p w:rsidR="009E5037" w:rsidRPr="005F2C80" w:rsidRDefault="009E5037" w:rsidP="009E5037">
      <w:pPr>
        <w:ind w:firstLine="709"/>
        <w:jc w:val="both"/>
        <w:rPr>
          <w:spacing w:val="0"/>
        </w:rPr>
      </w:pPr>
      <w:r w:rsidRPr="005F2C80">
        <w:rPr>
          <w:spacing w:val="0"/>
        </w:rPr>
        <w:t>в) обеспечение надежности эксплуатации восстановленных и реконструированных объектов уличного освещения;</w:t>
      </w:r>
    </w:p>
    <w:p w:rsidR="009E5037" w:rsidRPr="005F2C80" w:rsidRDefault="009E5037" w:rsidP="009E5037">
      <w:pPr>
        <w:ind w:firstLine="709"/>
        <w:jc w:val="both"/>
        <w:rPr>
          <w:spacing w:val="0"/>
        </w:rPr>
      </w:pPr>
      <w:r w:rsidRPr="005F2C80">
        <w:rPr>
          <w:spacing w:val="0"/>
        </w:rPr>
        <w:t>г) повышение качества предоставления услуг по освещению автомобильных дорог общего пользования Приднестровской Молдавской Республики, находящихся в государственной и муниципальной собственности;</w:t>
      </w:r>
    </w:p>
    <w:p w:rsidR="009E5037" w:rsidRPr="005F2C80" w:rsidRDefault="009E5037" w:rsidP="009E5037">
      <w:pPr>
        <w:ind w:firstLine="709"/>
        <w:jc w:val="both"/>
        <w:rPr>
          <w:spacing w:val="0"/>
        </w:rPr>
      </w:pPr>
      <w:r w:rsidRPr="005F2C80">
        <w:rPr>
          <w:spacing w:val="0"/>
        </w:rPr>
        <w:t>д) оптимизация затрат на ремонт и содержание объектов уличного освещения.</w:t>
      </w:r>
    </w:p>
    <w:p w:rsidR="009E5037" w:rsidRPr="005F2C80" w:rsidRDefault="009E5037" w:rsidP="00883911">
      <w:pPr>
        <w:ind w:firstLine="709"/>
        <w:jc w:val="both"/>
        <w:rPr>
          <w:spacing w:val="0"/>
        </w:rPr>
      </w:pPr>
    </w:p>
    <w:p w:rsidR="009E5037" w:rsidRPr="005F2C80" w:rsidRDefault="009E5037" w:rsidP="009E5037">
      <w:pPr>
        <w:ind w:firstLine="709"/>
        <w:jc w:val="center"/>
        <w:rPr>
          <w:spacing w:val="0"/>
        </w:rPr>
      </w:pPr>
      <w:r w:rsidRPr="005F2C80">
        <w:rPr>
          <w:spacing w:val="0"/>
        </w:rPr>
        <w:t>11. Контроль за реализацией Программы</w:t>
      </w:r>
    </w:p>
    <w:p w:rsidR="009E5037" w:rsidRPr="005F2C80" w:rsidRDefault="009E5037" w:rsidP="009E5037">
      <w:pPr>
        <w:ind w:firstLine="709"/>
        <w:jc w:val="both"/>
        <w:rPr>
          <w:spacing w:val="0"/>
        </w:rPr>
      </w:pPr>
    </w:p>
    <w:p w:rsidR="009E5037" w:rsidRPr="005F2C80" w:rsidRDefault="009E5037" w:rsidP="009E5037">
      <w:pPr>
        <w:ind w:firstLine="709"/>
        <w:jc w:val="both"/>
        <w:rPr>
          <w:spacing w:val="0"/>
        </w:rPr>
      </w:pPr>
      <w:r w:rsidRPr="005F2C80">
        <w:rPr>
          <w:spacing w:val="0"/>
        </w:rPr>
        <w:t>17. Контроль за реализацией мероприятий Программы осуществляет ответственный исполнитель Программы.</w:t>
      </w:r>
    </w:p>
    <w:p w:rsidR="009E5037" w:rsidRPr="005F2C80" w:rsidRDefault="009E5037" w:rsidP="00883911">
      <w:pPr>
        <w:ind w:firstLine="709"/>
        <w:jc w:val="both"/>
        <w:rPr>
          <w:spacing w:val="0"/>
        </w:rPr>
      </w:pPr>
      <w:r w:rsidRPr="005F2C80">
        <w:rPr>
          <w:spacing w:val="0"/>
        </w:rPr>
        <w:t>18. Отчеты об исполнении Программы за истекший год и о конечных результатах исполнения мероприятий Программы и эффективности использования финансовых средств за весь период ее реализации представляются в порядке и в сроки, установленные законодательством Приднестровской Молдавской Республики, определяющим (устанавливающим) общие принципы построения и функционирования бюджетной системы Приднестровской Молдавской Республики.</w:t>
      </w:r>
    </w:p>
    <w:sectPr w:rsidR="009E5037" w:rsidRPr="005F2C80" w:rsidSect="00AA47C5">
      <w:pgSz w:w="11906" w:h="16838"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7DD" w:rsidRDefault="005407DD">
      <w:r>
        <w:separator/>
      </w:r>
    </w:p>
  </w:endnote>
  <w:endnote w:type="continuationSeparator" w:id="0">
    <w:p w:rsidR="005407DD" w:rsidRDefault="00540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7C5" w:rsidRDefault="00AA47C5">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7C5" w:rsidRDefault="00AA47C5">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7C5" w:rsidRDefault="00AA47C5">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7DD" w:rsidRDefault="005407DD">
      <w:r>
        <w:separator/>
      </w:r>
    </w:p>
  </w:footnote>
  <w:footnote w:type="continuationSeparator" w:id="0">
    <w:p w:rsidR="005407DD" w:rsidRDefault="00540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073" w:rsidRDefault="00537073" w:rsidP="00153FE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37073" w:rsidRDefault="0053707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073" w:rsidRPr="009D00F6" w:rsidRDefault="00537073" w:rsidP="00153FEA">
    <w:pPr>
      <w:pStyle w:val="a4"/>
      <w:framePr w:wrap="around" w:vAnchor="text" w:hAnchor="margin" w:xAlign="center" w:y="1"/>
      <w:rPr>
        <w:rStyle w:val="a6"/>
        <w:sz w:val="24"/>
      </w:rPr>
    </w:pPr>
    <w:r w:rsidRPr="009D00F6">
      <w:rPr>
        <w:rStyle w:val="a6"/>
        <w:sz w:val="24"/>
      </w:rPr>
      <w:fldChar w:fldCharType="begin"/>
    </w:r>
    <w:r w:rsidRPr="009D00F6">
      <w:rPr>
        <w:rStyle w:val="a6"/>
        <w:sz w:val="24"/>
      </w:rPr>
      <w:instrText xml:space="preserve">PAGE  </w:instrText>
    </w:r>
    <w:r w:rsidRPr="009D00F6">
      <w:rPr>
        <w:rStyle w:val="a6"/>
        <w:sz w:val="24"/>
      </w:rPr>
      <w:fldChar w:fldCharType="separate"/>
    </w:r>
    <w:r w:rsidR="006D116A">
      <w:rPr>
        <w:rStyle w:val="a6"/>
        <w:noProof/>
        <w:sz w:val="24"/>
      </w:rPr>
      <w:t>9</w:t>
    </w:r>
    <w:r w:rsidRPr="009D00F6">
      <w:rPr>
        <w:rStyle w:val="a6"/>
        <w:sz w:val="24"/>
      </w:rPr>
      <w:fldChar w:fldCharType="end"/>
    </w:r>
  </w:p>
  <w:p w:rsidR="00537073" w:rsidRDefault="00537073" w:rsidP="00233FA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93C" w:rsidRDefault="0047693C">
    <w:pPr>
      <w:pStyle w:val="a4"/>
      <w:jc w:val="center"/>
    </w:pPr>
  </w:p>
  <w:p w:rsidR="0047693C" w:rsidRDefault="0047693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8"/>
  </w:num>
  <w:num w:numId="3">
    <w:abstractNumId w:val="2"/>
  </w:num>
  <w:num w:numId="4">
    <w:abstractNumId w:val="1"/>
  </w:num>
  <w:num w:numId="5">
    <w:abstractNumId w:val="5"/>
  </w:num>
  <w:num w:numId="6">
    <w:abstractNumId w:val="7"/>
  </w:num>
  <w:num w:numId="7">
    <w:abstractNumId w:val="6"/>
  </w:num>
  <w:num w:numId="8">
    <w:abstractNumId w:val="4"/>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456"/>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5E9"/>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0EB9"/>
    <w:rsid w:val="0009130B"/>
    <w:rsid w:val="00091348"/>
    <w:rsid w:val="00092331"/>
    <w:rsid w:val="00092916"/>
    <w:rsid w:val="00092EB8"/>
    <w:rsid w:val="000932E7"/>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62C"/>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259B3"/>
    <w:rsid w:val="00131CD6"/>
    <w:rsid w:val="00133CEE"/>
    <w:rsid w:val="0013519D"/>
    <w:rsid w:val="00135460"/>
    <w:rsid w:val="001354EB"/>
    <w:rsid w:val="00136087"/>
    <w:rsid w:val="00136442"/>
    <w:rsid w:val="00137E5D"/>
    <w:rsid w:val="00140C25"/>
    <w:rsid w:val="00140EB2"/>
    <w:rsid w:val="0014147D"/>
    <w:rsid w:val="00141B5E"/>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878AB"/>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6F66"/>
    <w:rsid w:val="001A7E1A"/>
    <w:rsid w:val="001B097A"/>
    <w:rsid w:val="001B2050"/>
    <w:rsid w:val="001B27C6"/>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3FAF"/>
    <w:rsid w:val="002356AD"/>
    <w:rsid w:val="002363D1"/>
    <w:rsid w:val="00240F96"/>
    <w:rsid w:val="0024173F"/>
    <w:rsid w:val="00244832"/>
    <w:rsid w:val="00244C62"/>
    <w:rsid w:val="00246D9C"/>
    <w:rsid w:val="00246FF5"/>
    <w:rsid w:val="002470EF"/>
    <w:rsid w:val="002477C6"/>
    <w:rsid w:val="002502C7"/>
    <w:rsid w:val="002505E4"/>
    <w:rsid w:val="00250B69"/>
    <w:rsid w:val="00251EA8"/>
    <w:rsid w:val="00252958"/>
    <w:rsid w:val="00252AE6"/>
    <w:rsid w:val="00253ECE"/>
    <w:rsid w:val="00254868"/>
    <w:rsid w:val="002557FA"/>
    <w:rsid w:val="00257723"/>
    <w:rsid w:val="00260318"/>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057"/>
    <w:rsid w:val="002C1E31"/>
    <w:rsid w:val="002C1F98"/>
    <w:rsid w:val="002C4C51"/>
    <w:rsid w:val="002C4E28"/>
    <w:rsid w:val="002C53D4"/>
    <w:rsid w:val="002C546F"/>
    <w:rsid w:val="002C6526"/>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988"/>
    <w:rsid w:val="00301DF2"/>
    <w:rsid w:val="0030202A"/>
    <w:rsid w:val="003041F1"/>
    <w:rsid w:val="00305403"/>
    <w:rsid w:val="00305EC4"/>
    <w:rsid w:val="0030667A"/>
    <w:rsid w:val="00307908"/>
    <w:rsid w:val="0031019E"/>
    <w:rsid w:val="0031097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26841"/>
    <w:rsid w:val="00330040"/>
    <w:rsid w:val="0033062E"/>
    <w:rsid w:val="00331C94"/>
    <w:rsid w:val="00332246"/>
    <w:rsid w:val="00333830"/>
    <w:rsid w:val="0033539A"/>
    <w:rsid w:val="00335867"/>
    <w:rsid w:val="00335BE4"/>
    <w:rsid w:val="00336C88"/>
    <w:rsid w:val="00336CA5"/>
    <w:rsid w:val="00343224"/>
    <w:rsid w:val="00344180"/>
    <w:rsid w:val="003441BB"/>
    <w:rsid w:val="00345888"/>
    <w:rsid w:val="003465D3"/>
    <w:rsid w:val="0034730C"/>
    <w:rsid w:val="00351B87"/>
    <w:rsid w:val="00353E92"/>
    <w:rsid w:val="00354013"/>
    <w:rsid w:val="00355683"/>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41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4DAC"/>
    <w:rsid w:val="003957E7"/>
    <w:rsid w:val="0039580D"/>
    <w:rsid w:val="0039588C"/>
    <w:rsid w:val="00395EE7"/>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557"/>
    <w:rsid w:val="004028C9"/>
    <w:rsid w:val="004037D6"/>
    <w:rsid w:val="004044AF"/>
    <w:rsid w:val="004059ED"/>
    <w:rsid w:val="00407254"/>
    <w:rsid w:val="00410A6C"/>
    <w:rsid w:val="00410AD3"/>
    <w:rsid w:val="00410B5D"/>
    <w:rsid w:val="004116D6"/>
    <w:rsid w:val="00411866"/>
    <w:rsid w:val="0041278A"/>
    <w:rsid w:val="0041280B"/>
    <w:rsid w:val="00412E46"/>
    <w:rsid w:val="00415AFD"/>
    <w:rsid w:val="0041630C"/>
    <w:rsid w:val="00416B34"/>
    <w:rsid w:val="00417922"/>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DBD"/>
    <w:rsid w:val="0044637E"/>
    <w:rsid w:val="0044658D"/>
    <w:rsid w:val="00447A41"/>
    <w:rsid w:val="00451DCE"/>
    <w:rsid w:val="00452513"/>
    <w:rsid w:val="004577E0"/>
    <w:rsid w:val="00460EFD"/>
    <w:rsid w:val="004619B0"/>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7625B"/>
    <w:rsid w:val="0047693C"/>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303"/>
    <w:rsid w:val="0049555B"/>
    <w:rsid w:val="0049680A"/>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4820"/>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54E3"/>
    <w:rsid w:val="004E621C"/>
    <w:rsid w:val="004F2CE6"/>
    <w:rsid w:val="004F3140"/>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58D8"/>
    <w:rsid w:val="0053675E"/>
    <w:rsid w:val="00536798"/>
    <w:rsid w:val="00536F6C"/>
    <w:rsid w:val="00537073"/>
    <w:rsid w:val="005372AC"/>
    <w:rsid w:val="0054039A"/>
    <w:rsid w:val="005407DD"/>
    <w:rsid w:val="00540B2D"/>
    <w:rsid w:val="005419C5"/>
    <w:rsid w:val="00541B25"/>
    <w:rsid w:val="00542B8D"/>
    <w:rsid w:val="00543685"/>
    <w:rsid w:val="00545906"/>
    <w:rsid w:val="00545A75"/>
    <w:rsid w:val="0054628D"/>
    <w:rsid w:val="0055105D"/>
    <w:rsid w:val="0055126E"/>
    <w:rsid w:val="0055326A"/>
    <w:rsid w:val="00554C3B"/>
    <w:rsid w:val="00555BE8"/>
    <w:rsid w:val="0055721E"/>
    <w:rsid w:val="0056073F"/>
    <w:rsid w:val="00560FF2"/>
    <w:rsid w:val="00561730"/>
    <w:rsid w:val="00562AA3"/>
    <w:rsid w:val="005650BF"/>
    <w:rsid w:val="005668A1"/>
    <w:rsid w:val="00570E91"/>
    <w:rsid w:val="00571285"/>
    <w:rsid w:val="005736DC"/>
    <w:rsid w:val="0057398A"/>
    <w:rsid w:val="00573DF1"/>
    <w:rsid w:val="00574821"/>
    <w:rsid w:val="00574B79"/>
    <w:rsid w:val="00575D1D"/>
    <w:rsid w:val="0057617E"/>
    <w:rsid w:val="00576433"/>
    <w:rsid w:val="00577294"/>
    <w:rsid w:val="005811B5"/>
    <w:rsid w:val="005833E2"/>
    <w:rsid w:val="0058341C"/>
    <w:rsid w:val="005839AD"/>
    <w:rsid w:val="005848D6"/>
    <w:rsid w:val="00584FED"/>
    <w:rsid w:val="00585A22"/>
    <w:rsid w:val="00586029"/>
    <w:rsid w:val="00586A05"/>
    <w:rsid w:val="00586ED0"/>
    <w:rsid w:val="005871F8"/>
    <w:rsid w:val="00587DD3"/>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03D"/>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C80"/>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1178"/>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66FE6"/>
    <w:rsid w:val="006703E1"/>
    <w:rsid w:val="00670749"/>
    <w:rsid w:val="00670F68"/>
    <w:rsid w:val="00671B05"/>
    <w:rsid w:val="00672405"/>
    <w:rsid w:val="00672ADA"/>
    <w:rsid w:val="00672EA9"/>
    <w:rsid w:val="0067368A"/>
    <w:rsid w:val="0067389B"/>
    <w:rsid w:val="006746AB"/>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8C9"/>
    <w:rsid w:val="00697EE9"/>
    <w:rsid w:val="006A03BC"/>
    <w:rsid w:val="006A04CE"/>
    <w:rsid w:val="006A0A14"/>
    <w:rsid w:val="006A2427"/>
    <w:rsid w:val="006A3903"/>
    <w:rsid w:val="006A406A"/>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6A"/>
    <w:rsid w:val="006D11F0"/>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3D87"/>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50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4FB5"/>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22D"/>
    <w:rsid w:val="007B77D1"/>
    <w:rsid w:val="007B7B2F"/>
    <w:rsid w:val="007C0213"/>
    <w:rsid w:val="007C04BE"/>
    <w:rsid w:val="007C06BB"/>
    <w:rsid w:val="007C0AE2"/>
    <w:rsid w:val="007C12C3"/>
    <w:rsid w:val="007C2516"/>
    <w:rsid w:val="007C2925"/>
    <w:rsid w:val="007C38F9"/>
    <w:rsid w:val="007C49B1"/>
    <w:rsid w:val="007C50CB"/>
    <w:rsid w:val="007C6105"/>
    <w:rsid w:val="007C6E6E"/>
    <w:rsid w:val="007D28B2"/>
    <w:rsid w:val="007D29EF"/>
    <w:rsid w:val="007D2EF5"/>
    <w:rsid w:val="007D302C"/>
    <w:rsid w:val="007D3804"/>
    <w:rsid w:val="007D464E"/>
    <w:rsid w:val="007D48F2"/>
    <w:rsid w:val="007D62A5"/>
    <w:rsid w:val="007D63C0"/>
    <w:rsid w:val="007D6FE4"/>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A5"/>
    <w:rsid w:val="0081704D"/>
    <w:rsid w:val="00820255"/>
    <w:rsid w:val="00824ECD"/>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1E8"/>
    <w:rsid w:val="0086729C"/>
    <w:rsid w:val="008674AC"/>
    <w:rsid w:val="00870060"/>
    <w:rsid w:val="0087162A"/>
    <w:rsid w:val="00871A54"/>
    <w:rsid w:val="00872DBC"/>
    <w:rsid w:val="00872E56"/>
    <w:rsid w:val="00874AAE"/>
    <w:rsid w:val="00876B63"/>
    <w:rsid w:val="008779FF"/>
    <w:rsid w:val="00877FFC"/>
    <w:rsid w:val="0088127F"/>
    <w:rsid w:val="00881ECA"/>
    <w:rsid w:val="008820A5"/>
    <w:rsid w:val="00882E32"/>
    <w:rsid w:val="00883911"/>
    <w:rsid w:val="00884783"/>
    <w:rsid w:val="00884E8B"/>
    <w:rsid w:val="00885181"/>
    <w:rsid w:val="00885CF3"/>
    <w:rsid w:val="008861F5"/>
    <w:rsid w:val="00887B18"/>
    <w:rsid w:val="008902ED"/>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364A"/>
    <w:rsid w:val="008A4026"/>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4E14"/>
    <w:rsid w:val="008E53CA"/>
    <w:rsid w:val="008E5F6D"/>
    <w:rsid w:val="008E6B65"/>
    <w:rsid w:val="008E7585"/>
    <w:rsid w:val="008F08DA"/>
    <w:rsid w:val="008F11F9"/>
    <w:rsid w:val="008F23E8"/>
    <w:rsid w:val="008F3BCD"/>
    <w:rsid w:val="008F3F29"/>
    <w:rsid w:val="008F496E"/>
    <w:rsid w:val="008F6CFF"/>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17527"/>
    <w:rsid w:val="00920300"/>
    <w:rsid w:val="00920979"/>
    <w:rsid w:val="00922420"/>
    <w:rsid w:val="00922721"/>
    <w:rsid w:val="009231F3"/>
    <w:rsid w:val="00925F84"/>
    <w:rsid w:val="00926AC9"/>
    <w:rsid w:val="00927587"/>
    <w:rsid w:val="00930984"/>
    <w:rsid w:val="00931B03"/>
    <w:rsid w:val="009329BE"/>
    <w:rsid w:val="0093314C"/>
    <w:rsid w:val="00934F0A"/>
    <w:rsid w:val="00934F9F"/>
    <w:rsid w:val="009355A2"/>
    <w:rsid w:val="00937ED8"/>
    <w:rsid w:val="00940355"/>
    <w:rsid w:val="00940B2C"/>
    <w:rsid w:val="00941586"/>
    <w:rsid w:val="00941806"/>
    <w:rsid w:val="009425B2"/>
    <w:rsid w:val="00944032"/>
    <w:rsid w:val="009451D8"/>
    <w:rsid w:val="009454F5"/>
    <w:rsid w:val="009465EC"/>
    <w:rsid w:val="00946E90"/>
    <w:rsid w:val="009473E2"/>
    <w:rsid w:val="0095132F"/>
    <w:rsid w:val="009515DC"/>
    <w:rsid w:val="0095164E"/>
    <w:rsid w:val="009519AB"/>
    <w:rsid w:val="009524B2"/>
    <w:rsid w:val="0095261D"/>
    <w:rsid w:val="00952F5B"/>
    <w:rsid w:val="00954EFA"/>
    <w:rsid w:val="0095588B"/>
    <w:rsid w:val="009560B7"/>
    <w:rsid w:val="00956E92"/>
    <w:rsid w:val="00960B72"/>
    <w:rsid w:val="00962B16"/>
    <w:rsid w:val="00964CA1"/>
    <w:rsid w:val="0096511C"/>
    <w:rsid w:val="00965748"/>
    <w:rsid w:val="00966C09"/>
    <w:rsid w:val="00967B5C"/>
    <w:rsid w:val="00967B6F"/>
    <w:rsid w:val="00971A52"/>
    <w:rsid w:val="00971DBA"/>
    <w:rsid w:val="00972EA3"/>
    <w:rsid w:val="009736A6"/>
    <w:rsid w:val="0097749B"/>
    <w:rsid w:val="00980D47"/>
    <w:rsid w:val="00981618"/>
    <w:rsid w:val="00982776"/>
    <w:rsid w:val="00983047"/>
    <w:rsid w:val="00983724"/>
    <w:rsid w:val="0098478B"/>
    <w:rsid w:val="009861D8"/>
    <w:rsid w:val="0098659A"/>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638E"/>
    <w:rsid w:val="009B00CC"/>
    <w:rsid w:val="009B2AA2"/>
    <w:rsid w:val="009B3A3A"/>
    <w:rsid w:val="009B58F4"/>
    <w:rsid w:val="009B5C6D"/>
    <w:rsid w:val="009B6E0A"/>
    <w:rsid w:val="009B724E"/>
    <w:rsid w:val="009B769D"/>
    <w:rsid w:val="009C036B"/>
    <w:rsid w:val="009C0393"/>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6761"/>
    <w:rsid w:val="009D773D"/>
    <w:rsid w:val="009D7F3F"/>
    <w:rsid w:val="009E0D10"/>
    <w:rsid w:val="009E1108"/>
    <w:rsid w:val="009E1404"/>
    <w:rsid w:val="009E18B9"/>
    <w:rsid w:val="009E2268"/>
    <w:rsid w:val="009E29B4"/>
    <w:rsid w:val="009E4B4C"/>
    <w:rsid w:val="009E5037"/>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AAA"/>
    <w:rsid w:val="00A96C2E"/>
    <w:rsid w:val="00AA1075"/>
    <w:rsid w:val="00AA139E"/>
    <w:rsid w:val="00AA3300"/>
    <w:rsid w:val="00AA3D02"/>
    <w:rsid w:val="00AA432B"/>
    <w:rsid w:val="00AA4586"/>
    <w:rsid w:val="00AA47C5"/>
    <w:rsid w:val="00AA51E6"/>
    <w:rsid w:val="00AA5411"/>
    <w:rsid w:val="00AA599F"/>
    <w:rsid w:val="00AA61E2"/>
    <w:rsid w:val="00AA6545"/>
    <w:rsid w:val="00AB191F"/>
    <w:rsid w:val="00AB23F1"/>
    <w:rsid w:val="00AB281E"/>
    <w:rsid w:val="00AB31B4"/>
    <w:rsid w:val="00AB46DA"/>
    <w:rsid w:val="00AB4D21"/>
    <w:rsid w:val="00AB7231"/>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02A"/>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267D"/>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E58"/>
    <w:rsid w:val="00B37074"/>
    <w:rsid w:val="00B37DBD"/>
    <w:rsid w:val="00B409B6"/>
    <w:rsid w:val="00B42792"/>
    <w:rsid w:val="00B43168"/>
    <w:rsid w:val="00B43EFA"/>
    <w:rsid w:val="00B444C3"/>
    <w:rsid w:val="00B4473E"/>
    <w:rsid w:val="00B472AC"/>
    <w:rsid w:val="00B47B33"/>
    <w:rsid w:val="00B52E86"/>
    <w:rsid w:val="00B52E94"/>
    <w:rsid w:val="00B53ED6"/>
    <w:rsid w:val="00B54689"/>
    <w:rsid w:val="00B550FA"/>
    <w:rsid w:val="00B555C1"/>
    <w:rsid w:val="00B56479"/>
    <w:rsid w:val="00B56930"/>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1EB2"/>
    <w:rsid w:val="00BB39BF"/>
    <w:rsid w:val="00BB3A56"/>
    <w:rsid w:val="00BB4B05"/>
    <w:rsid w:val="00BB5484"/>
    <w:rsid w:val="00BB6760"/>
    <w:rsid w:val="00BC0145"/>
    <w:rsid w:val="00BC0749"/>
    <w:rsid w:val="00BC08C9"/>
    <w:rsid w:val="00BC098A"/>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6C2E"/>
    <w:rsid w:val="00BF7576"/>
    <w:rsid w:val="00BF7CFE"/>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03"/>
    <w:rsid w:val="00C23DBB"/>
    <w:rsid w:val="00C264D2"/>
    <w:rsid w:val="00C26EAC"/>
    <w:rsid w:val="00C27A43"/>
    <w:rsid w:val="00C3135E"/>
    <w:rsid w:val="00C31927"/>
    <w:rsid w:val="00C320FD"/>
    <w:rsid w:val="00C325AE"/>
    <w:rsid w:val="00C32F55"/>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51EA"/>
    <w:rsid w:val="00C56664"/>
    <w:rsid w:val="00C56792"/>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697D"/>
    <w:rsid w:val="00C877B1"/>
    <w:rsid w:val="00C87A6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2DCC"/>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0C9"/>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5CCB"/>
    <w:rsid w:val="00D76DDC"/>
    <w:rsid w:val="00D772CF"/>
    <w:rsid w:val="00D801F8"/>
    <w:rsid w:val="00D80A80"/>
    <w:rsid w:val="00D81020"/>
    <w:rsid w:val="00D8177A"/>
    <w:rsid w:val="00D82DC5"/>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5F6B"/>
    <w:rsid w:val="00DA61BD"/>
    <w:rsid w:val="00DA72B4"/>
    <w:rsid w:val="00DA7580"/>
    <w:rsid w:val="00DB13B2"/>
    <w:rsid w:val="00DB158C"/>
    <w:rsid w:val="00DB277F"/>
    <w:rsid w:val="00DB3598"/>
    <w:rsid w:val="00DB4162"/>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63C5"/>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24BB"/>
    <w:rsid w:val="00E12836"/>
    <w:rsid w:val="00E12846"/>
    <w:rsid w:val="00E157AA"/>
    <w:rsid w:val="00E158BA"/>
    <w:rsid w:val="00E15BB6"/>
    <w:rsid w:val="00E15D56"/>
    <w:rsid w:val="00E168D9"/>
    <w:rsid w:val="00E16BC4"/>
    <w:rsid w:val="00E1779A"/>
    <w:rsid w:val="00E226A3"/>
    <w:rsid w:val="00E22981"/>
    <w:rsid w:val="00E22D69"/>
    <w:rsid w:val="00E2340B"/>
    <w:rsid w:val="00E26AEF"/>
    <w:rsid w:val="00E30E4D"/>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203E"/>
    <w:rsid w:val="00EA2D2E"/>
    <w:rsid w:val="00EA300B"/>
    <w:rsid w:val="00EA5566"/>
    <w:rsid w:val="00EA58D5"/>
    <w:rsid w:val="00EA67ED"/>
    <w:rsid w:val="00EA6CAD"/>
    <w:rsid w:val="00EB035C"/>
    <w:rsid w:val="00EB1386"/>
    <w:rsid w:val="00EB184F"/>
    <w:rsid w:val="00EB24A3"/>
    <w:rsid w:val="00EB2859"/>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6A2"/>
    <w:rsid w:val="00EF5142"/>
    <w:rsid w:val="00EF5FAC"/>
    <w:rsid w:val="00EF66F8"/>
    <w:rsid w:val="00F03A87"/>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AAF"/>
    <w:rsid w:val="00F14F21"/>
    <w:rsid w:val="00F15741"/>
    <w:rsid w:val="00F15FF0"/>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2EEF"/>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72E1"/>
    <w:rsid w:val="00FA7A57"/>
    <w:rsid w:val="00FA7C4D"/>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5C3B"/>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D6A4C"/>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link w:val="a5"/>
    <w:uiPriority w:val="99"/>
    <w:rsid w:val="00490ACC"/>
    <w:pPr>
      <w:tabs>
        <w:tab w:val="center" w:pos="4677"/>
        <w:tab w:val="right" w:pos="9355"/>
      </w:tabs>
    </w:pPr>
  </w:style>
  <w:style w:type="character" w:styleId="a6">
    <w:name w:val="page number"/>
    <w:basedOn w:val="a0"/>
    <w:rsid w:val="00490ACC"/>
  </w:style>
  <w:style w:type="table" w:styleId="a7">
    <w:name w:val="Table Grid"/>
    <w:basedOn w:val="a1"/>
    <w:uiPriority w:val="39"/>
    <w:rsid w:val="00C97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small">
    <w:name w:val="text-small"/>
    <w:rsid w:val="00C971FC"/>
  </w:style>
  <w:style w:type="character" w:customStyle="1" w:styleId="margin">
    <w:name w:val="margin"/>
    <w:rsid w:val="00C971FC"/>
  </w:style>
  <w:style w:type="paragraph" w:styleId="a8">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9">
    <w:name w:val="Strong"/>
    <w:uiPriority w:val="22"/>
    <w:qFormat/>
    <w:rsid w:val="003918D4"/>
    <w:rPr>
      <w:b/>
      <w:bCs/>
    </w:rPr>
  </w:style>
  <w:style w:type="paragraph" w:styleId="aa">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b">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ac">
    <w:name w:val="Название"/>
    <w:basedOn w:val="a"/>
    <w:link w:val="ad"/>
    <w:qFormat/>
    <w:rsid w:val="005B227E"/>
    <w:pPr>
      <w:jc w:val="center"/>
    </w:pPr>
    <w:rPr>
      <w:b/>
      <w:bCs/>
      <w:caps/>
      <w:szCs w:val="20"/>
    </w:rPr>
  </w:style>
  <w:style w:type="character" w:customStyle="1" w:styleId="ad">
    <w:name w:val="Название Знак"/>
    <w:link w:val="ac"/>
    <w:rsid w:val="005B227E"/>
    <w:rPr>
      <w:b/>
      <w:bCs/>
      <w:caps/>
      <w:sz w:val="28"/>
      <w:lang w:val="ru-RU" w:eastAsia="ru-RU" w:bidi="ar-SA"/>
    </w:rPr>
  </w:style>
  <w:style w:type="paragraph" w:customStyle="1" w:styleId="12">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e">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f"/>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3">
    <w:name w:val="Абзац списка1"/>
    <w:basedOn w:val="a"/>
    <w:rsid w:val="00042639"/>
    <w:pPr>
      <w:spacing w:after="200" w:line="276" w:lineRule="auto"/>
      <w:ind w:left="720"/>
      <w:contextualSpacing/>
    </w:pPr>
    <w:rPr>
      <w:rFonts w:ascii="Calibri" w:hAnsi="Calibri"/>
      <w:sz w:val="22"/>
      <w:szCs w:val="22"/>
    </w:rPr>
  </w:style>
  <w:style w:type="paragraph" w:styleId="af0">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1">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f">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e"/>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2">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3">
    <w:name w:val="Emphasis"/>
    <w:qFormat/>
    <w:rsid w:val="003F6BFC"/>
    <w:rPr>
      <w:rFonts w:cs="Times New Roman"/>
      <w:i/>
      <w:iCs/>
    </w:rPr>
  </w:style>
  <w:style w:type="paragraph" w:styleId="af4">
    <w:name w:val="footer"/>
    <w:basedOn w:val="a"/>
    <w:link w:val="af5"/>
    <w:rsid w:val="00934F9F"/>
    <w:pPr>
      <w:tabs>
        <w:tab w:val="center" w:pos="4677"/>
        <w:tab w:val="right" w:pos="9355"/>
      </w:tabs>
      <w:spacing w:after="200" w:line="276" w:lineRule="auto"/>
    </w:pPr>
    <w:rPr>
      <w:rFonts w:ascii="Calibri" w:hAnsi="Calibri"/>
      <w:sz w:val="20"/>
      <w:szCs w:val="20"/>
      <w:lang w:eastAsia="en-US"/>
    </w:rPr>
  </w:style>
  <w:style w:type="character" w:customStyle="1" w:styleId="af5">
    <w:name w:val="Нижний колонтитул Знак"/>
    <w:link w:val="af4"/>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6">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6"/>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4">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5">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 w:type="character" w:customStyle="1" w:styleId="a5">
    <w:name w:val="Верхний колонтитул Знак"/>
    <w:basedOn w:val="a0"/>
    <w:link w:val="a4"/>
    <w:uiPriority w:val="99"/>
    <w:rsid w:val="0047693C"/>
    <w:rPr>
      <w:spacing w:val="-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4F398-25FE-4BE9-8D79-A13F13B27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11</Pages>
  <Words>2248</Words>
  <Characters>16176</Characters>
  <Application>Microsoft Office Word</Application>
  <DocSecurity>0</DocSecurity>
  <Lines>134</Lines>
  <Paragraphs>36</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Дротенко Оксана Александровна</cp:lastModifiedBy>
  <cp:revision>38</cp:revision>
  <cp:lastPrinted>2024-05-15T11:38:00Z</cp:lastPrinted>
  <dcterms:created xsi:type="dcterms:W3CDTF">2024-05-15T08:52:00Z</dcterms:created>
  <dcterms:modified xsi:type="dcterms:W3CDTF">2025-05-29T13:13:00Z</dcterms:modified>
</cp:coreProperties>
</file>