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779" w:rsidRPr="001D6620" w:rsidRDefault="001F2779" w:rsidP="001D6620">
      <w:pPr>
        <w:ind w:right="3414"/>
        <w:jc w:val="both"/>
        <w:rPr>
          <w:b/>
          <w:sz w:val="28"/>
          <w:szCs w:val="28"/>
        </w:rPr>
      </w:pPr>
    </w:p>
    <w:p w:rsidR="001F2779" w:rsidRPr="001D6620" w:rsidRDefault="001F2779" w:rsidP="001D6620">
      <w:pPr>
        <w:ind w:right="3414"/>
        <w:jc w:val="both"/>
        <w:rPr>
          <w:b/>
          <w:sz w:val="28"/>
          <w:szCs w:val="28"/>
        </w:rPr>
      </w:pPr>
    </w:p>
    <w:p w:rsidR="001F2779" w:rsidRPr="001D6620" w:rsidRDefault="001F2779" w:rsidP="001D6620">
      <w:pPr>
        <w:ind w:right="3414"/>
        <w:jc w:val="both"/>
        <w:rPr>
          <w:b/>
          <w:sz w:val="28"/>
          <w:szCs w:val="28"/>
        </w:rPr>
      </w:pPr>
    </w:p>
    <w:p w:rsidR="001F2779" w:rsidRPr="001D6620" w:rsidRDefault="001F2779" w:rsidP="001D6620">
      <w:pPr>
        <w:ind w:right="3414"/>
        <w:jc w:val="both"/>
        <w:rPr>
          <w:b/>
          <w:sz w:val="28"/>
          <w:szCs w:val="28"/>
        </w:rPr>
      </w:pPr>
    </w:p>
    <w:p w:rsidR="001F2779" w:rsidRPr="001D6620" w:rsidRDefault="001F2779" w:rsidP="001D6620">
      <w:pPr>
        <w:ind w:right="3684"/>
        <w:jc w:val="both"/>
        <w:rPr>
          <w:b/>
          <w:sz w:val="28"/>
          <w:szCs w:val="28"/>
        </w:rPr>
      </w:pPr>
    </w:p>
    <w:p w:rsidR="001F2779" w:rsidRPr="001D6620" w:rsidRDefault="001F2779" w:rsidP="001D6620">
      <w:pPr>
        <w:ind w:right="-2"/>
        <w:jc w:val="center"/>
        <w:rPr>
          <w:b/>
          <w:sz w:val="28"/>
          <w:szCs w:val="28"/>
        </w:rPr>
      </w:pPr>
      <w:r w:rsidRPr="001D6620">
        <w:rPr>
          <w:b/>
          <w:sz w:val="28"/>
          <w:szCs w:val="28"/>
        </w:rPr>
        <w:t xml:space="preserve">ПОСТАНОВЛЕНИЕ № </w:t>
      </w:r>
      <w:r w:rsidR="008E1E75">
        <w:rPr>
          <w:b/>
          <w:sz w:val="28"/>
          <w:szCs w:val="28"/>
        </w:rPr>
        <w:t>4083</w:t>
      </w:r>
    </w:p>
    <w:p w:rsidR="001F2779" w:rsidRPr="001D6620" w:rsidRDefault="001F2779" w:rsidP="001D6620">
      <w:pPr>
        <w:ind w:right="-2"/>
        <w:jc w:val="center"/>
        <w:rPr>
          <w:sz w:val="28"/>
          <w:szCs w:val="28"/>
        </w:rPr>
      </w:pPr>
    </w:p>
    <w:p w:rsidR="001F2779" w:rsidRPr="001D6620" w:rsidRDefault="001F2779" w:rsidP="001D6620">
      <w:pPr>
        <w:ind w:right="-2"/>
        <w:jc w:val="both"/>
        <w:rPr>
          <w:sz w:val="28"/>
          <w:szCs w:val="28"/>
        </w:rPr>
      </w:pPr>
      <w:r w:rsidRPr="001D6620">
        <w:rPr>
          <w:sz w:val="28"/>
          <w:szCs w:val="28"/>
        </w:rPr>
        <w:t xml:space="preserve">Принято Верховным Советом </w:t>
      </w:r>
    </w:p>
    <w:p w:rsidR="001F2779" w:rsidRPr="001D6620" w:rsidRDefault="001F2779" w:rsidP="001D6620">
      <w:pPr>
        <w:ind w:right="-2"/>
        <w:jc w:val="both"/>
        <w:rPr>
          <w:sz w:val="28"/>
          <w:szCs w:val="28"/>
        </w:rPr>
      </w:pPr>
      <w:r w:rsidRPr="001D6620">
        <w:rPr>
          <w:sz w:val="28"/>
          <w:szCs w:val="28"/>
        </w:rPr>
        <w:t xml:space="preserve">Приднестровской Молдавской Республики                               </w:t>
      </w:r>
      <w:r w:rsidR="003B77EA" w:rsidRPr="001D6620">
        <w:rPr>
          <w:sz w:val="28"/>
          <w:szCs w:val="28"/>
        </w:rPr>
        <w:t>16</w:t>
      </w:r>
      <w:r w:rsidRPr="001D6620">
        <w:rPr>
          <w:sz w:val="28"/>
          <w:szCs w:val="28"/>
        </w:rPr>
        <w:t xml:space="preserve"> июля 2025 года</w:t>
      </w:r>
    </w:p>
    <w:p w:rsidR="001F2779" w:rsidRPr="001D6620" w:rsidRDefault="001F2779" w:rsidP="001D6620">
      <w:pPr>
        <w:ind w:right="-2"/>
        <w:jc w:val="both"/>
        <w:rPr>
          <w:sz w:val="28"/>
          <w:szCs w:val="28"/>
        </w:rPr>
      </w:pPr>
    </w:p>
    <w:p w:rsidR="00A11E5F" w:rsidRPr="001D6620" w:rsidRDefault="00A11E5F" w:rsidP="008E1E75">
      <w:pPr>
        <w:pStyle w:val="a8"/>
        <w:spacing w:after="0"/>
        <w:ind w:right="3825"/>
        <w:jc w:val="both"/>
        <w:rPr>
          <w:rFonts w:ascii="Times New Roman" w:hAnsi="Times New Roman" w:cs="Times New Roman"/>
          <w:b/>
          <w:sz w:val="28"/>
          <w:szCs w:val="28"/>
        </w:rPr>
      </w:pPr>
      <w:r w:rsidRPr="001D6620">
        <w:rPr>
          <w:rFonts w:ascii="Times New Roman" w:hAnsi="Times New Roman" w:cs="Times New Roman"/>
          <w:b/>
          <w:sz w:val="28"/>
          <w:szCs w:val="28"/>
        </w:rPr>
        <w:t xml:space="preserve">Об утверждении отчета </w:t>
      </w:r>
      <w:r w:rsidR="006D741B" w:rsidRPr="001D6620">
        <w:rPr>
          <w:rFonts w:ascii="Times New Roman" w:hAnsi="Times New Roman" w:cs="Times New Roman"/>
          <w:b/>
          <w:sz w:val="28"/>
          <w:szCs w:val="28"/>
        </w:rPr>
        <w:t>об</w:t>
      </w:r>
      <w:r w:rsidRPr="001D6620">
        <w:rPr>
          <w:rFonts w:ascii="Times New Roman" w:hAnsi="Times New Roman" w:cs="Times New Roman"/>
          <w:b/>
          <w:sz w:val="28"/>
          <w:szCs w:val="28"/>
        </w:rPr>
        <w:t xml:space="preserve"> исполнени</w:t>
      </w:r>
      <w:r w:rsidR="006D741B" w:rsidRPr="001D6620">
        <w:rPr>
          <w:rFonts w:ascii="Times New Roman" w:hAnsi="Times New Roman" w:cs="Times New Roman"/>
          <w:b/>
          <w:sz w:val="28"/>
          <w:szCs w:val="28"/>
        </w:rPr>
        <w:t>и</w:t>
      </w:r>
      <w:r w:rsidR="009F2689" w:rsidRPr="001D6620">
        <w:rPr>
          <w:rFonts w:ascii="Times New Roman" w:hAnsi="Times New Roman" w:cs="Times New Roman"/>
          <w:b/>
          <w:sz w:val="28"/>
          <w:szCs w:val="28"/>
        </w:rPr>
        <w:t xml:space="preserve"> </w:t>
      </w:r>
      <w:r w:rsidRPr="001D6620">
        <w:rPr>
          <w:rFonts w:ascii="Times New Roman" w:hAnsi="Times New Roman" w:cs="Times New Roman"/>
          <w:b/>
          <w:sz w:val="28"/>
          <w:szCs w:val="28"/>
        </w:rPr>
        <w:t>Государственной программы развития агропромышленного комплекса Приднестровской Молдавско</w:t>
      </w:r>
      <w:r w:rsidR="002D141E" w:rsidRPr="001D6620">
        <w:rPr>
          <w:rFonts w:ascii="Times New Roman" w:hAnsi="Times New Roman" w:cs="Times New Roman"/>
          <w:b/>
          <w:sz w:val="28"/>
          <w:szCs w:val="28"/>
        </w:rPr>
        <w:t xml:space="preserve">й Республики на 2019–2026 годы </w:t>
      </w:r>
      <w:r w:rsidRPr="001D6620">
        <w:rPr>
          <w:rFonts w:ascii="Times New Roman" w:hAnsi="Times New Roman" w:cs="Times New Roman"/>
          <w:b/>
          <w:sz w:val="28"/>
          <w:szCs w:val="28"/>
        </w:rPr>
        <w:t>за 202</w:t>
      </w:r>
      <w:r w:rsidR="007D7AFB" w:rsidRPr="001D6620">
        <w:rPr>
          <w:rFonts w:ascii="Times New Roman" w:hAnsi="Times New Roman" w:cs="Times New Roman"/>
          <w:b/>
          <w:sz w:val="28"/>
          <w:szCs w:val="28"/>
        </w:rPr>
        <w:t>4</w:t>
      </w:r>
      <w:r w:rsidRPr="001D6620">
        <w:rPr>
          <w:rFonts w:ascii="Times New Roman" w:hAnsi="Times New Roman" w:cs="Times New Roman"/>
          <w:b/>
          <w:sz w:val="28"/>
          <w:szCs w:val="28"/>
        </w:rPr>
        <w:t xml:space="preserve"> год</w:t>
      </w:r>
    </w:p>
    <w:p w:rsidR="00A11E5F" w:rsidRPr="001D6620" w:rsidRDefault="00A11E5F" w:rsidP="001D6620">
      <w:pPr>
        <w:ind w:firstLine="567"/>
        <w:jc w:val="both"/>
        <w:rPr>
          <w:sz w:val="28"/>
          <w:szCs w:val="28"/>
        </w:rPr>
      </w:pPr>
    </w:p>
    <w:p w:rsidR="009C538E" w:rsidRPr="001D6620" w:rsidRDefault="009C538E" w:rsidP="001D6620">
      <w:pPr>
        <w:ind w:firstLine="709"/>
        <w:jc w:val="both"/>
        <w:rPr>
          <w:sz w:val="28"/>
          <w:szCs w:val="28"/>
        </w:rPr>
      </w:pPr>
      <w:r w:rsidRPr="001D6620">
        <w:rPr>
          <w:sz w:val="28"/>
          <w:szCs w:val="28"/>
        </w:rPr>
        <w:t>Рассмотрев отчет о</w:t>
      </w:r>
      <w:r w:rsidR="009F2689" w:rsidRPr="001D6620">
        <w:rPr>
          <w:sz w:val="28"/>
          <w:szCs w:val="28"/>
        </w:rPr>
        <w:t>б</w:t>
      </w:r>
      <w:r w:rsidRPr="001D6620">
        <w:rPr>
          <w:sz w:val="28"/>
          <w:szCs w:val="28"/>
        </w:rPr>
        <w:t xml:space="preserve"> </w:t>
      </w:r>
      <w:r w:rsidR="00A11E5F" w:rsidRPr="001D6620">
        <w:rPr>
          <w:sz w:val="28"/>
          <w:szCs w:val="28"/>
        </w:rPr>
        <w:t>исполнени</w:t>
      </w:r>
      <w:r w:rsidR="009F2689" w:rsidRPr="001D6620">
        <w:rPr>
          <w:sz w:val="28"/>
          <w:szCs w:val="28"/>
        </w:rPr>
        <w:t>и</w:t>
      </w:r>
      <w:r w:rsidRPr="001D6620">
        <w:rPr>
          <w:sz w:val="28"/>
          <w:szCs w:val="28"/>
        </w:rPr>
        <w:t xml:space="preserve"> </w:t>
      </w:r>
      <w:r w:rsidR="00A11E5F" w:rsidRPr="001D6620">
        <w:rPr>
          <w:sz w:val="28"/>
          <w:szCs w:val="28"/>
        </w:rPr>
        <w:t>Г</w:t>
      </w:r>
      <w:r w:rsidRPr="001D6620">
        <w:rPr>
          <w:bCs/>
          <w:sz w:val="28"/>
          <w:szCs w:val="28"/>
        </w:rPr>
        <w:t xml:space="preserve">осударственной программы </w:t>
      </w:r>
      <w:r w:rsidR="00A11E5F" w:rsidRPr="001D6620">
        <w:rPr>
          <w:sz w:val="28"/>
          <w:szCs w:val="28"/>
        </w:rPr>
        <w:t>р</w:t>
      </w:r>
      <w:r w:rsidR="0098627D" w:rsidRPr="001D6620">
        <w:rPr>
          <w:sz w:val="28"/>
          <w:szCs w:val="28"/>
        </w:rPr>
        <w:t>азвития агропромышленного комплекса Приднестровской Молдавской Республики на 2019–2026 годы</w:t>
      </w:r>
      <w:r w:rsidR="00F55A94" w:rsidRPr="001D6620">
        <w:rPr>
          <w:sz w:val="28"/>
          <w:szCs w:val="28"/>
        </w:rPr>
        <w:t xml:space="preserve"> за 202</w:t>
      </w:r>
      <w:r w:rsidR="006D741B" w:rsidRPr="001D6620">
        <w:rPr>
          <w:sz w:val="28"/>
          <w:szCs w:val="28"/>
        </w:rPr>
        <w:t>4</w:t>
      </w:r>
      <w:r w:rsidRPr="001D6620">
        <w:rPr>
          <w:sz w:val="28"/>
          <w:szCs w:val="28"/>
        </w:rPr>
        <w:t xml:space="preserve"> год</w:t>
      </w:r>
      <w:r w:rsidRPr="001D6620">
        <w:rPr>
          <w:bCs/>
          <w:sz w:val="28"/>
          <w:szCs w:val="28"/>
        </w:rPr>
        <w:t xml:space="preserve">, </w:t>
      </w:r>
      <w:r w:rsidRPr="001D6620">
        <w:rPr>
          <w:rFonts w:eastAsia="MS Mincho"/>
          <w:sz w:val="28"/>
          <w:szCs w:val="28"/>
        </w:rPr>
        <w:t xml:space="preserve">представленный к рассмотрению </w:t>
      </w:r>
      <w:r w:rsidR="00CC5D0E" w:rsidRPr="001D6620">
        <w:rPr>
          <w:sz w:val="28"/>
          <w:szCs w:val="28"/>
        </w:rPr>
        <w:t>Правительством</w:t>
      </w:r>
      <w:r w:rsidR="0098627D" w:rsidRPr="001D6620">
        <w:rPr>
          <w:sz w:val="28"/>
          <w:szCs w:val="28"/>
        </w:rPr>
        <w:t xml:space="preserve"> Приднестровской Молдавской Республики</w:t>
      </w:r>
      <w:r w:rsidRPr="001D6620">
        <w:rPr>
          <w:sz w:val="28"/>
          <w:szCs w:val="28"/>
        </w:rPr>
        <w:t xml:space="preserve"> (</w:t>
      </w:r>
      <w:r w:rsidR="00972460" w:rsidRPr="001D6620">
        <w:rPr>
          <w:rFonts w:eastAsia="Times New Roman"/>
          <w:bCs/>
          <w:sz w:val="28"/>
          <w:szCs w:val="28"/>
        </w:rPr>
        <w:t xml:space="preserve">письмо </w:t>
      </w:r>
      <w:r w:rsidR="009F2689" w:rsidRPr="001D6620">
        <w:rPr>
          <w:rFonts w:eastAsia="Times New Roman"/>
          <w:bCs/>
          <w:sz w:val="28"/>
          <w:szCs w:val="28"/>
        </w:rPr>
        <w:t xml:space="preserve">Председателя </w:t>
      </w:r>
      <w:r w:rsidR="00972460" w:rsidRPr="001D6620">
        <w:rPr>
          <w:rFonts w:eastAsia="Times New Roman"/>
          <w:bCs/>
          <w:sz w:val="28"/>
          <w:szCs w:val="28"/>
        </w:rPr>
        <w:t>Правительства от 1</w:t>
      </w:r>
      <w:r w:rsidR="007D7AFB" w:rsidRPr="001D6620">
        <w:rPr>
          <w:rFonts w:eastAsia="Times New Roman"/>
          <w:bCs/>
          <w:sz w:val="28"/>
          <w:szCs w:val="28"/>
        </w:rPr>
        <w:t>4</w:t>
      </w:r>
      <w:r w:rsidR="00972460" w:rsidRPr="001D6620">
        <w:rPr>
          <w:rFonts w:eastAsia="Times New Roman"/>
          <w:bCs/>
          <w:sz w:val="28"/>
          <w:szCs w:val="28"/>
        </w:rPr>
        <w:t xml:space="preserve"> ма</w:t>
      </w:r>
      <w:r w:rsidR="007D7AFB" w:rsidRPr="001D6620">
        <w:rPr>
          <w:rFonts w:eastAsia="Times New Roman"/>
          <w:bCs/>
          <w:sz w:val="28"/>
          <w:szCs w:val="28"/>
        </w:rPr>
        <w:t>я</w:t>
      </w:r>
      <w:r w:rsidR="00972460" w:rsidRPr="001D6620">
        <w:rPr>
          <w:rFonts w:eastAsia="Times New Roman"/>
          <w:bCs/>
          <w:sz w:val="28"/>
          <w:szCs w:val="28"/>
        </w:rPr>
        <w:t xml:space="preserve"> 202</w:t>
      </w:r>
      <w:r w:rsidR="007D7AFB" w:rsidRPr="001D6620">
        <w:rPr>
          <w:rFonts w:eastAsia="Times New Roman"/>
          <w:bCs/>
          <w:sz w:val="28"/>
          <w:szCs w:val="28"/>
        </w:rPr>
        <w:t>5</w:t>
      </w:r>
      <w:r w:rsidR="00972460" w:rsidRPr="001D6620">
        <w:rPr>
          <w:rFonts w:eastAsia="Times New Roman"/>
          <w:bCs/>
          <w:sz w:val="28"/>
          <w:szCs w:val="28"/>
        </w:rPr>
        <w:t xml:space="preserve"> года №</w:t>
      </w:r>
      <w:r w:rsidR="0095037B" w:rsidRPr="001D6620">
        <w:rPr>
          <w:rFonts w:eastAsia="Times New Roman"/>
          <w:bCs/>
          <w:sz w:val="28"/>
          <w:szCs w:val="28"/>
        </w:rPr>
        <w:t xml:space="preserve"> </w:t>
      </w:r>
      <w:r w:rsidR="00972460" w:rsidRPr="001D6620">
        <w:rPr>
          <w:rFonts w:eastAsia="Times New Roman"/>
          <w:bCs/>
          <w:sz w:val="28"/>
          <w:szCs w:val="28"/>
        </w:rPr>
        <w:t>01-52/</w:t>
      </w:r>
      <w:r w:rsidR="007D7AFB" w:rsidRPr="001D6620">
        <w:rPr>
          <w:rFonts w:eastAsia="Times New Roman"/>
          <w:bCs/>
          <w:sz w:val="28"/>
          <w:szCs w:val="28"/>
        </w:rPr>
        <w:t>185</w:t>
      </w:r>
      <w:r w:rsidRPr="001D6620">
        <w:rPr>
          <w:sz w:val="28"/>
          <w:szCs w:val="28"/>
        </w:rPr>
        <w:t>)</w:t>
      </w:r>
      <w:r w:rsidRPr="001D6620">
        <w:rPr>
          <w:bCs/>
          <w:sz w:val="28"/>
          <w:szCs w:val="28"/>
        </w:rPr>
        <w:t xml:space="preserve"> в соответствии с</w:t>
      </w:r>
      <w:r w:rsidR="00A11E5F" w:rsidRPr="001D6620">
        <w:rPr>
          <w:bCs/>
          <w:sz w:val="28"/>
          <w:szCs w:val="28"/>
        </w:rPr>
        <w:t xml:space="preserve"> пунктом 5</w:t>
      </w:r>
      <w:r w:rsidRPr="001D6620">
        <w:rPr>
          <w:bCs/>
          <w:sz w:val="28"/>
          <w:szCs w:val="28"/>
        </w:rPr>
        <w:t xml:space="preserve"> стать</w:t>
      </w:r>
      <w:r w:rsidR="00A11E5F" w:rsidRPr="001D6620">
        <w:rPr>
          <w:bCs/>
          <w:sz w:val="28"/>
          <w:szCs w:val="28"/>
        </w:rPr>
        <w:t>и</w:t>
      </w:r>
      <w:r w:rsidRPr="001D6620">
        <w:rPr>
          <w:bCs/>
          <w:sz w:val="28"/>
          <w:szCs w:val="28"/>
        </w:rPr>
        <w:t xml:space="preserve"> 16-1 Закона Приднестровской Молдавской Республики «О бюджетной системе в Приднестровской Молдавской Республике», </w:t>
      </w:r>
      <w:r w:rsidRPr="001D6620">
        <w:rPr>
          <w:sz w:val="28"/>
          <w:szCs w:val="28"/>
        </w:rPr>
        <w:t>Верховный Совет Приднестровской Молдавской Республики</w:t>
      </w:r>
      <w:r w:rsidRPr="001D6620">
        <w:rPr>
          <w:bCs/>
          <w:sz w:val="28"/>
          <w:szCs w:val="28"/>
        </w:rPr>
        <w:t xml:space="preserve"> отмечает следующее.</w:t>
      </w:r>
    </w:p>
    <w:p w:rsidR="007D7AFB" w:rsidRPr="001D6620" w:rsidRDefault="009F2689" w:rsidP="001D6620">
      <w:pPr>
        <w:ind w:firstLine="709"/>
        <w:jc w:val="both"/>
        <w:rPr>
          <w:sz w:val="28"/>
          <w:szCs w:val="28"/>
        </w:rPr>
      </w:pPr>
      <w:r w:rsidRPr="001D6620">
        <w:rPr>
          <w:sz w:val="28"/>
          <w:szCs w:val="28"/>
        </w:rPr>
        <w:t>Государственная программа р</w:t>
      </w:r>
      <w:r w:rsidR="007D7AFB" w:rsidRPr="001D6620">
        <w:rPr>
          <w:sz w:val="28"/>
          <w:szCs w:val="28"/>
        </w:rPr>
        <w:t>азвития агропромышленного комплекса Приднестровской Молдавск</w:t>
      </w:r>
      <w:r w:rsidRPr="001D6620">
        <w:rPr>
          <w:sz w:val="28"/>
          <w:szCs w:val="28"/>
        </w:rPr>
        <w:t>ой Республики на 2019–2026 годы</w:t>
      </w:r>
      <w:r w:rsidR="007D7AFB" w:rsidRPr="001D6620">
        <w:rPr>
          <w:sz w:val="28"/>
          <w:szCs w:val="28"/>
        </w:rPr>
        <w:t xml:space="preserve"> (далее по тексту – Государственная программа) утверждена Законом Приднестровской Молдавской Республики </w:t>
      </w:r>
      <w:r w:rsidR="00037BBB" w:rsidRPr="001D6620">
        <w:rPr>
          <w:sz w:val="28"/>
          <w:szCs w:val="28"/>
        </w:rPr>
        <w:t xml:space="preserve">от </w:t>
      </w:r>
      <w:r w:rsidR="007D7AFB" w:rsidRPr="001D6620">
        <w:rPr>
          <w:sz w:val="28"/>
          <w:szCs w:val="28"/>
        </w:rPr>
        <w:t xml:space="preserve">12 апреля 2019 года № 65-З-VI «Об утверждении Государственной программы развития агропромышленного комплекса Приднестровской Молдавской </w:t>
      </w:r>
      <w:r w:rsidR="007F3492" w:rsidRPr="001D6620">
        <w:rPr>
          <w:sz w:val="28"/>
          <w:szCs w:val="28"/>
        </w:rPr>
        <w:t>Республики на</w:t>
      </w:r>
      <w:r w:rsidR="007D7AFB" w:rsidRPr="001D6620">
        <w:rPr>
          <w:sz w:val="28"/>
          <w:szCs w:val="28"/>
        </w:rPr>
        <w:t xml:space="preserve"> 2019–2026 годы»</w:t>
      </w:r>
      <w:r w:rsidRPr="001D6620">
        <w:rPr>
          <w:sz w:val="28"/>
          <w:szCs w:val="28"/>
        </w:rPr>
        <w:t xml:space="preserve"> (САЗ 19-14)</w:t>
      </w:r>
      <w:r w:rsidR="007D7AFB" w:rsidRPr="001D6620">
        <w:rPr>
          <w:sz w:val="28"/>
          <w:szCs w:val="28"/>
        </w:rPr>
        <w:t>.</w:t>
      </w:r>
    </w:p>
    <w:p w:rsidR="007D7AFB" w:rsidRPr="001D6620" w:rsidRDefault="007D7AFB" w:rsidP="001D6620">
      <w:pPr>
        <w:ind w:firstLine="709"/>
        <w:jc w:val="both"/>
        <w:rPr>
          <w:sz w:val="28"/>
          <w:szCs w:val="28"/>
        </w:rPr>
      </w:pPr>
      <w:r w:rsidRPr="001D6620">
        <w:rPr>
          <w:sz w:val="28"/>
          <w:szCs w:val="28"/>
        </w:rPr>
        <w:t xml:space="preserve">Финансирование Государственной программы в 2024 году в соответствии с Законом Приднестровской Молдавской Республики </w:t>
      </w:r>
      <w:r w:rsidR="00DD2279" w:rsidRPr="001D6620">
        <w:rPr>
          <w:sz w:val="28"/>
          <w:szCs w:val="28"/>
        </w:rPr>
        <w:br/>
      </w:r>
      <w:r w:rsidRPr="001D6620">
        <w:rPr>
          <w:sz w:val="28"/>
          <w:szCs w:val="28"/>
        </w:rPr>
        <w:t>«О республиканском бюджете на 2024 год» осуществлялось из Фонда поддержки сельского хозяйства Приднестровской Молдавской Республики</w:t>
      </w:r>
      <w:r w:rsidR="00713417" w:rsidRPr="001D6620">
        <w:rPr>
          <w:sz w:val="28"/>
          <w:szCs w:val="28"/>
        </w:rPr>
        <w:t xml:space="preserve"> (далее по тексту – Фонд)</w:t>
      </w:r>
      <w:r w:rsidRPr="001D6620">
        <w:rPr>
          <w:sz w:val="28"/>
          <w:szCs w:val="28"/>
        </w:rPr>
        <w:t xml:space="preserve">. </w:t>
      </w:r>
    </w:p>
    <w:p w:rsidR="007D7AFB" w:rsidRPr="001D6620" w:rsidRDefault="007D7AFB" w:rsidP="001D6620">
      <w:pPr>
        <w:ind w:firstLine="709"/>
        <w:jc w:val="both"/>
        <w:rPr>
          <w:sz w:val="28"/>
          <w:szCs w:val="28"/>
        </w:rPr>
      </w:pPr>
      <w:r w:rsidRPr="001D6620">
        <w:rPr>
          <w:sz w:val="28"/>
          <w:szCs w:val="28"/>
        </w:rPr>
        <w:t xml:space="preserve">В </w:t>
      </w:r>
      <w:r w:rsidR="006D741B" w:rsidRPr="001D6620">
        <w:rPr>
          <w:sz w:val="28"/>
          <w:szCs w:val="28"/>
        </w:rPr>
        <w:t xml:space="preserve">соответствии с Законом Приднестровской Молдавской Республики </w:t>
      </w:r>
      <w:r w:rsidR="0095037B" w:rsidRPr="001D6620">
        <w:rPr>
          <w:sz w:val="28"/>
          <w:szCs w:val="28"/>
        </w:rPr>
        <w:br/>
      </w:r>
      <w:r w:rsidR="006D741B" w:rsidRPr="001D6620">
        <w:rPr>
          <w:sz w:val="28"/>
          <w:szCs w:val="28"/>
        </w:rPr>
        <w:t xml:space="preserve">«О республиканском бюджете на 2024 год» смета расходов </w:t>
      </w:r>
      <w:r w:rsidRPr="001D6620">
        <w:rPr>
          <w:sz w:val="28"/>
          <w:szCs w:val="28"/>
        </w:rPr>
        <w:t>Фонда составила на 2024 год 20</w:t>
      </w:r>
      <w:r w:rsidR="00037BBB" w:rsidRPr="001D6620">
        <w:rPr>
          <w:sz w:val="28"/>
          <w:szCs w:val="28"/>
        </w:rPr>
        <w:t> </w:t>
      </w:r>
      <w:r w:rsidRPr="001D6620">
        <w:rPr>
          <w:sz w:val="28"/>
          <w:szCs w:val="28"/>
        </w:rPr>
        <w:t>992</w:t>
      </w:r>
      <w:r w:rsidR="00037BBB" w:rsidRPr="001D6620">
        <w:rPr>
          <w:sz w:val="28"/>
          <w:szCs w:val="28"/>
        </w:rPr>
        <w:t> </w:t>
      </w:r>
      <w:r w:rsidRPr="001D6620">
        <w:rPr>
          <w:sz w:val="28"/>
          <w:szCs w:val="28"/>
        </w:rPr>
        <w:t>850</w:t>
      </w:r>
      <w:r w:rsidR="00037BBB" w:rsidRPr="001D6620">
        <w:rPr>
          <w:sz w:val="28"/>
          <w:szCs w:val="28"/>
        </w:rPr>
        <w:t xml:space="preserve"> </w:t>
      </w:r>
      <w:r w:rsidRPr="001D6620">
        <w:rPr>
          <w:sz w:val="28"/>
          <w:szCs w:val="28"/>
        </w:rPr>
        <w:t xml:space="preserve">рублей. Фактическое финансирование мероприятий Государственной программы из </w:t>
      </w:r>
      <w:r w:rsidR="00713417" w:rsidRPr="001D6620">
        <w:rPr>
          <w:sz w:val="28"/>
          <w:szCs w:val="28"/>
        </w:rPr>
        <w:t>Фонда</w:t>
      </w:r>
      <w:r w:rsidRPr="001D6620">
        <w:rPr>
          <w:sz w:val="28"/>
          <w:szCs w:val="28"/>
        </w:rPr>
        <w:t xml:space="preserve"> в 2024 году составило </w:t>
      </w:r>
      <w:r w:rsidR="00B16B25" w:rsidRPr="001D6620">
        <w:rPr>
          <w:sz w:val="28"/>
          <w:szCs w:val="28"/>
        </w:rPr>
        <w:br/>
      </w:r>
      <w:r w:rsidRPr="001D6620">
        <w:rPr>
          <w:sz w:val="28"/>
          <w:szCs w:val="28"/>
        </w:rPr>
        <w:t>20</w:t>
      </w:r>
      <w:r w:rsidR="0095037B" w:rsidRPr="001D6620">
        <w:rPr>
          <w:sz w:val="28"/>
          <w:szCs w:val="28"/>
        </w:rPr>
        <w:t> </w:t>
      </w:r>
      <w:r w:rsidRPr="001D6620">
        <w:rPr>
          <w:sz w:val="28"/>
          <w:szCs w:val="28"/>
        </w:rPr>
        <w:t>741</w:t>
      </w:r>
      <w:r w:rsidR="0095037B" w:rsidRPr="001D6620">
        <w:rPr>
          <w:sz w:val="28"/>
          <w:szCs w:val="28"/>
        </w:rPr>
        <w:t> </w:t>
      </w:r>
      <w:r w:rsidRPr="001D6620">
        <w:rPr>
          <w:sz w:val="28"/>
          <w:szCs w:val="28"/>
        </w:rPr>
        <w:t>691</w:t>
      </w:r>
      <w:r w:rsidR="0095037B" w:rsidRPr="001D6620">
        <w:rPr>
          <w:sz w:val="28"/>
          <w:szCs w:val="28"/>
        </w:rPr>
        <w:t xml:space="preserve"> </w:t>
      </w:r>
      <w:r w:rsidRPr="001D6620">
        <w:rPr>
          <w:sz w:val="28"/>
          <w:szCs w:val="28"/>
        </w:rPr>
        <w:t>рубль.</w:t>
      </w:r>
    </w:p>
    <w:p w:rsidR="00FD44B3" w:rsidRPr="001D6620" w:rsidRDefault="00FD44B3" w:rsidP="001D6620">
      <w:pPr>
        <w:ind w:firstLine="709"/>
        <w:jc w:val="both"/>
        <w:rPr>
          <w:color w:val="000000"/>
          <w:sz w:val="28"/>
          <w:szCs w:val="28"/>
          <w:shd w:val="clear" w:color="auto" w:fill="FFFFFF"/>
        </w:rPr>
      </w:pPr>
      <w:r w:rsidRPr="001D6620">
        <w:rPr>
          <w:color w:val="000000"/>
          <w:sz w:val="28"/>
          <w:szCs w:val="28"/>
          <w:shd w:val="clear" w:color="auto" w:fill="FFFFFF"/>
        </w:rPr>
        <w:t>Информация о соотношении сумм средств и направлениях расходов</w:t>
      </w:r>
      <w:r w:rsidR="00C72620" w:rsidRPr="001D6620">
        <w:rPr>
          <w:color w:val="000000"/>
          <w:sz w:val="28"/>
          <w:szCs w:val="28"/>
          <w:shd w:val="clear" w:color="auto" w:fill="FFFFFF"/>
        </w:rPr>
        <w:t>ания</w:t>
      </w:r>
      <w:r w:rsidRPr="001D6620">
        <w:rPr>
          <w:color w:val="000000"/>
          <w:sz w:val="28"/>
          <w:szCs w:val="28"/>
          <w:shd w:val="clear" w:color="auto" w:fill="FFFFFF"/>
        </w:rPr>
        <w:t xml:space="preserve"> средств</w:t>
      </w:r>
      <w:r w:rsidR="00B449A9" w:rsidRPr="001D6620">
        <w:rPr>
          <w:color w:val="000000"/>
          <w:sz w:val="28"/>
          <w:szCs w:val="28"/>
          <w:shd w:val="clear" w:color="auto" w:fill="FFFFFF"/>
        </w:rPr>
        <w:t xml:space="preserve">, утвержденных </w:t>
      </w:r>
      <w:r w:rsidRPr="001D6620">
        <w:rPr>
          <w:color w:val="000000"/>
          <w:sz w:val="28"/>
          <w:szCs w:val="28"/>
          <w:shd w:val="clear" w:color="auto" w:fill="FFFFFF"/>
        </w:rPr>
        <w:t>Государственной программ</w:t>
      </w:r>
      <w:r w:rsidR="00B449A9" w:rsidRPr="001D6620">
        <w:rPr>
          <w:color w:val="000000"/>
          <w:sz w:val="28"/>
          <w:szCs w:val="28"/>
          <w:shd w:val="clear" w:color="auto" w:fill="FFFFFF"/>
        </w:rPr>
        <w:t>ой</w:t>
      </w:r>
      <w:r w:rsidRPr="001D6620">
        <w:rPr>
          <w:color w:val="000000"/>
          <w:sz w:val="28"/>
          <w:szCs w:val="28"/>
          <w:shd w:val="clear" w:color="auto" w:fill="FFFFFF"/>
        </w:rPr>
        <w:t>,</w:t>
      </w:r>
      <w:r w:rsidR="00FC4D87" w:rsidRPr="001D6620">
        <w:rPr>
          <w:color w:val="000000"/>
          <w:sz w:val="28"/>
          <w:szCs w:val="28"/>
          <w:shd w:val="clear" w:color="auto" w:fill="FFFFFF"/>
        </w:rPr>
        <w:t xml:space="preserve"> во взаимосвязи с направлениями,</w:t>
      </w:r>
      <w:r w:rsidRPr="001D6620">
        <w:rPr>
          <w:color w:val="000000"/>
          <w:sz w:val="28"/>
          <w:szCs w:val="28"/>
          <w:shd w:val="clear" w:color="auto" w:fill="FFFFFF"/>
        </w:rPr>
        <w:t xml:space="preserve"> предусмотренными в смете </w:t>
      </w:r>
      <w:r w:rsidR="00713417" w:rsidRPr="001D6620">
        <w:rPr>
          <w:sz w:val="28"/>
          <w:szCs w:val="28"/>
        </w:rPr>
        <w:t>Фонда</w:t>
      </w:r>
      <w:r w:rsidR="00713417" w:rsidRPr="001D6620">
        <w:rPr>
          <w:color w:val="000000"/>
          <w:sz w:val="28"/>
          <w:szCs w:val="28"/>
          <w:shd w:val="clear" w:color="auto" w:fill="FFFFFF"/>
        </w:rPr>
        <w:t xml:space="preserve"> </w:t>
      </w:r>
      <w:r w:rsidRPr="001D6620">
        <w:rPr>
          <w:color w:val="000000"/>
          <w:sz w:val="28"/>
          <w:szCs w:val="28"/>
          <w:shd w:val="clear" w:color="auto" w:fill="FFFFFF"/>
        </w:rPr>
        <w:t>на 202</w:t>
      </w:r>
      <w:r w:rsidR="007D7AFB" w:rsidRPr="001D6620">
        <w:rPr>
          <w:color w:val="000000"/>
          <w:sz w:val="28"/>
          <w:szCs w:val="28"/>
          <w:shd w:val="clear" w:color="auto" w:fill="FFFFFF"/>
        </w:rPr>
        <w:t>4</w:t>
      </w:r>
      <w:r w:rsidRPr="001D6620">
        <w:rPr>
          <w:color w:val="000000"/>
          <w:sz w:val="28"/>
          <w:szCs w:val="28"/>
          <w:shd w:val="clear" w:color="auto" w:fill="FFFFFF"/>
        </w:rPr>
        <w:t xml:space="preserve"> год, отражена в </w:t>
      </w:r>
      <w:proofErr w:type="spellStart"/>
      <w:r w:rsidRPr="001D6620">
        <w:rPr>
          <w:color w:val="000000"/>
          <w:sz w:val="28"/>
          <w:szCs w:val="28"/>
          <w:shd w:val="clear" w:color="auto" w:fill="FFFFFF"/>
        </w:rPr>
        <w:t>нижепредставленной</w:t>
      </w:r>
      <w:proofErr w:type="spellEnd"/>
      <w:r w:rsidRPr="001D6620">
        <w:rPr>
          <w:color w:val="000000"/>
          <w:sz w:val="28"/>
          <w:szCs w:val="28"/>
          <w:shd w:val="clear" w:color="auto" w:fill="FFFFFF"/>
        </w:rPr>
        <w:t xml:space="preserve"> таблице. </w:t>
      </w:r>
    </w:p>
    <w:tbl>
      <w:tblPr>
        <w:tblStyle w:val="af1"/>
        <w:tblpPr w:leftFromText="180" w:rightFromText="180" w:vertAnchor="text" w:horzAnchor="margin" w:tblpXSpec="center" w:tblpY="322"/>
        <w:tblW w:w="9641" w:type="dxa"/>
        <w:jc w:val="center"/>
        <w:tblLayout w:type="fixed"/>
        <w:tblLook w:val="04A0" w:firstRow="1" w:lastRow="0" w:firstColumn="1" w:lastColumn="0" w:noHBand="0" w:noVBand="1"/>
      </w:tblPr>
      <w:tblGrid>
        <w:gridCol w:w="2972"/>
        <w:gridCol w:w="1418"/>
        <w:gridCol w:w="1417"/>
        <w:gridCol w:w="9"/>
        <w:gridCol w:w="1409"/>
        <w:gridCol w:w="1417"/>
        <w:gridCol w:w="999"/>
      </w:tblGrid>
      <w:tr w:rsidR="007A40DF" w:rsidRPr="001D6620" w:rsidTr="00E04A0D">
        <w:trPr>
          <w:cantSplit/>
          <w:jc w:val="center"/>
        </w:trPr>
        <w:tc>
          <w:tcPr>
            <w:tcW w:w="2972" w:type="dxa"/>
            <w:vMerge w:val="restart"/>
            <w:vAlign w:val="center"/>
          </w:tcPr>
          <w:p w:rsidR="007A40DF" w:rsidRPr="001D6620" w:rsidRDefault="007A40DF" w:rsidP="001D6620">
            <w:pPr>
              <w:jc w:val="center"/>
              <w:rPr>
                <w:rFonts w:eastAsia="Times New Roman"/>
              </w:rPr>
            </w:pPr>
            <w:r w:rsidRPr="001D6620">
              <w:rPr>
                <w:rFonts w:eastAsia="Times New Roman"/>
              </w:rPr>
              <w:lastRenderedPageBreak/>
              <w:t>Наименования</w:t>
            </w:r>
            <w:r w:rsidRPr="001D6620">
              <w:rPr>
                <w:rFonts w:eastAsia="Times New Roman"/>
                <w:lang w:val="en-US"/>
              </w:rPr>
              <w:t xml:space="preserve"> </w:t>
            </w:r>
            <w:r w:rsidRPr="001D6620">
              <w:rPr>
                <w:rFonts w:eastAsia="Times New Roman"/>
              </w:rPr>
              <w:t>расходования средств</w:t>
            </w:r>
          </w:p>
        </w:tc>
        <w:tc>
          <w:tcPr>
            <w:tcW w:w="2844" w:type="dxa"/>
            <w:gridSpan w:val="3"/>
            <w:vAlign w:val="center"/>
          </w:tcPr>
          <w:p w:rsidR="007A40DF" w:rsidRPr="001D6620" w:rsidRDefault="007A40DF" w:rsidP="001D6620">
            <w:pPr>
              <w:jc w:val="center"/>
              <w:rPr>
                <w:rFonts w:eastAsia="Times New Roman"/>
              </w:rPr>
            </w:pPr>
            <w:r w:rsidRPr="001D6620">
              <w:rPr>
                <w:rFonts w:eastAsia="Times New Roman"/>
              </w:rPr>
              <w:t>Плановые показатели</w:t>
            </w:r>
          </w:p>
        </w:tc>
        <w:tc>
          <w:tcPr>
            <w:tcW w:w="3825" w:type="dxa"/>
            <w:gridSpan w:val="3"/>
            <w:vAlign w:val="center"/>
          </w:tcPr>
          <w:p w:rsidR="007A40DF" w:rsidRPr="001D6620" w:rsidRDefault="007A40DF" w:rsidP="001D6620">
            <w:pPr>
              <w:jc w:val="center"/>
              <w:rPr>
                <w:rFonts w:eastAsia="Times New Roman"/>
              </w:rPr>
            </w:pPr>
            <w:r w:rsidRPr="001D6620">
              <w:rPr>
                <w:rFonts w:eastAsia="Times New Roman"/>
              </w:rPr>
              <w:t>Фактические показатели</w:t>
            </w:r>
          </w:p>
        </w:tc>
      </w:tr>
      <w:tr w:rsidR="007A40DF" w:rsidRPr="001D6620" w:rsidTr="003E7CC2">
        <w:trPr>
          <w:cantSplit/>
          <w:jc w:val="center"/>
        </w:trPr>
        <w:tc>
          <w:tcPr>
            <w:tcW w:w="2972" w:type="dxa"/>
            <w:vMerge/>
            <w:vAlign w:val="center"/>
          </w:tcPr>
          <w:p w:rsidR="007A40DF" w:rsidRPr="001D6620" w:rsidRDefault="007A40DF" w:rsidP="001D6620">
            <w:pPr>
              <w:rPr>
                <w:rFonts w:eastAsia="Times New Roman"/>
              </w:rPr>
            </w:pPr>
          </w:p>
        </w:tc>
        <w:tc>
          <w:tcPr>
            <w:tcW w:w="1418" w:type="dxa"/>
            <w:vAlign w:val="center"/>
          </w:tcPr>
          <w:p w:rsidR="007A40DF" w:rsidRPr="001D6620" w:rsidRDefault="007A40DF" w:rsidP="001D6620">
            <w:pPr>
              <w:jc w:val="center"/>
              <w:rPr>
                <w:rFonts w:eastAsia="Times New Roman"/>
              </w:rPr>
            </w:pPr>
            <w:r w:rsidRPr="001D6620">
              <w:rPr>
                <w:rFonts w:eastAsia="Times New Roman"/>
              </w:rPr>
              <w:t xml:space="preserve">по </w:t>
            </w:r>
            <w:proofErr w:type="spellStart"/>
            <w:r w:rsidR="00BD21D9" w:rsidRPr="001D6620">
              <w:rPr>
                <w:rFonts w:eastAsia="Times New Roman"/>
              </w:rPr>
              <w:t>Государ</w:t>
            </w:r>
            <w:r w:rsidR="001D6620" w:rsidRPr="001D6620">
              <w:rPr>
                <w:rFonts w:eastAsia="Times New Roman"/>
              </w:rPr>
              <w:t>-</w:t>
            </w:r>
            <w:r w:rsidR="00BD21D9" w:rsidRPr="001D6620">
              <w:rPr>
                <w:rFonts w:eastAsia="Times New Roman"/>
              </w:rPr>
              <w:t>ственной</w:t>
            </w:r>
            <w:proofErr w:type="spellEnd"/>
            <w:r w:rsidR="00BD21D9" w:rsidRPr="001D6620">
              <w:rPr>
                <w:rFonts w:eastAsia="Times New Roman"/>
              </w:rPr>
              <w:t xml:space="preserve"> п</w:t>
            </w:r>
            <w:r w:rsidRPr="001D6620">
              <w:rPr>
                <w:rFonts w:eastAsia="Times New Roman"/>
              </w:rPr>
              <w:t>рограмме</w:t>
            </w:r>
          </w:p>
        </w:tc>
        <w:tc>
          <w:tcPr>
            <w:tcW w:w="1417" w:type="dxa"/>
            <w:vAlign w:val="center"/>
          </w:tcPr>
          <w:p w:rsidR="007A40DF" w:rsidRPr="001D6620" w:rsidRDefault="007A40DF" w:rsidP="001D6620">
            <w:pPr>
              <w:jc w:val="center"/>
              <w:rPr>
                <w:rFonts w:eastAsia="Times New Roman"/>
              </w:rPr>
            </w:pPr>
            <w:r w:rsidRPr="001D6620">
              <w:rPr>
                <w:rFonts w:eastAsia="Times New Roman"/>
              </w:rPr>
              <w:t>по лимиту Фонда</w:t>
            </w:r>
          </w:p>
        </w:tc>
        <w:tc>
          <w:tcPr>
            <w:tcW w:w="1418" w:type="dxa"/>
            <w:gridSpan w:val="2"/>
            <w:vAlign w:val="center"/>
          </w:tcPr>
          <w:p w:rsidR="007A40DF" w:rsidRPr="001D6620" w:rsidRDefault="00BD21D9" w:rsidP="001D6620">
            <w:pPr>
              <w:jc w:val="center"/>
              <w:rPr>
                <w:rFonts w:eastAsia="Times New Roman"/>
              </w:rPr>
            </w:pPr>
            <w:proofErr w:type="spellStart"/>
            <w:r w:rsidRPr="001D6620">
              <w:rPr>
                <w:rFonts w:eastAsia="Times New Roman"/>
              </w:rPr>
              <w:t>п</w:t>
            </w:r>
            <w:r w:rsidR="007A40DF" w:rsidRPr="001D6620">
              <w:rPr>
                <w:rFonts w:eastAsia="Times New Roman"/>
              </w:rPr>
              <w:t>рофинан-сировано</w:t>
            </w:r>
            <w:proofErr w:type="spellEnd"/>
            <w:r w:rsidR="007A40DF" w:rsidRPr="001D6620">
              <w:rPr>
                <w:rFonts w:eastAsia="Times New Roman"/>
              </w:rPr>
              <w:t>, руб.</w:t>
            </w:r>
          </w:p>
        </w:tc>
        <w:tc>
          <w:tcPr>
            <w:tcW w:w="2416" w:type="dxa"/>
            <w:gridSpan w:val="2"/>
            <w:vAlign w:val="center"/>
          </w:tcPr>
          <w:p w:rsidR="007A40DF" w:rsidRPr="001D6620" w:rsidRDefault="007A40DF" w:rsidP="001D6620">
            <w:pPr>
              <w:jc w:val="center"/>
              <w:rPr>
                <w:rFonts w:eastAsia="Times New Roman"/>
              </w:rPr>
            </w:pPr>
            <w:r w:rsidRPr="001D6620">
              <w:rPr>
                <w:rFonts w:eastAsia="Times New Roman"/>
              </w:rPr>
              <w:t>исполнено</w:t>
            </w:r>
          </w:p>
        </w:tc>
      </w:tr>
      <w:tr w:rsidR="007A40DF" w:rsidRPr="001D6620" w:rsidTr="0095037B">
        <w:trPr>
          <w:cantSplit/>
          <w:jc w:val="center"/>
        </w:trPr>
        <w:tc>
          <w:tcPr>
            <w:tcW w:w="2972" w:type="dxa"/>
            <w:vMerge/>
            <w:vAlign w:val="center"/>
          </w:tcPr>
          <w:p w:rsidR="007A40DF" w:rsidRPr="001D6620" w:rsidRDefault="007A40DF" w:rsidP="001D6620">
            <w:pPr>
              <w:rPr>
                <w:rFonts w:eastAsia="Times New Roman"/>
              </w:rPr>
            </w:pPr>
          </w:p>
        </w:tc>
        <w:tc>
          <w:tcPr>
            <w:tcW w:w="1418" w:type="dxa"/>
            <w:vAlign w:val="center"/>
          </w:tcPr>
          <w:p w:rsidR="007A40DF" w:rsidRPr="001D6620" w:rsidRDefault="007A40DF" w:rsidP="001D6620">
            <w:pPr>
              <w:jc w:val="center"/>
              <w:rPr>
                <w:rFonts w:eastAsia="Times New Roman"/>
              </w:rPr>
            </w:pPr>
            <w:r w:rsidRPr="001D6620">
              <w:rPr>
                <w:rFonts w:eastAsia="Times New Roman"/>
              </w:rPr>
              <w:t>Сумма, руб.</w:t>
            </w:r>
          </w:p>
        </w:tc>
        <w:tc>
          <w:tcPr>
            <w:tcW w:w="1417" w:type="dxa"/>
            <w:vAlign w:val="center"/>
          </w:tcPr>
          <w:p w:rsidR="007A40DF" w:rsidRPr="001D6620" w:rsidRDefault="007A40DF" w:rsidP="001D6620">
            <w:pPr>
              <w:jc w:val="center"/>
              <w:rPr>
                <w:rFonts w:eastAsia="Times New Roman"/>
              </w:rPr>
            </w:pPr>
            <w:r w:rsidRPr="001D6620">
              <w:rPr>
                <w:rFonts w:eastAsia="Times New Roman"/>
              </w:rPr>
              <w:t>Сумма, руб.</w:t>
            </w:r>
          </w:p>
        </w:tc>
        <w:tc>
          <w:tcPr>
            <w:tcW w:w="1418" w:type="dxa"/>
            <w:gridSpan w:val="2"/>
            <w:vAlign w:val="center"/>
          </w:tcPr>
          <w:p w:rsidR="007A40DF" w:rsidRPr="001D6620" w:rsidRDefault="007A40DF" w:rsidP="001D6620">
            <w:pPr>
              <w:jc w:val="center"/>
              <w:rPr>
                <w:rFonts w:eastAsia="Times New Roman"/>
              </w:rPr>
            </w:pPr>
            <w:r w:rsidRPr="001D6620">
              <w:rPr>
                <w:rFonts w:eastAsia="Times New Roman"/>
              </w:rPr>
              <w:t>Сумма, руб.</w:t>
            </w:r>
          </w:p>
        </w:tc>
        <w:tc>
          <w:tcPr>
            <w:tcW w:w="1417" w:type="dxa"/>
            <w:vAlign w:val="center"/>
          </w:tcPr>
          <w:p w:rsidR="007A40DF" w:rsidRPr="001D6620" w:rsidRDefault="007A40DF" w:rsidP="001D6620">
            <w:pPr>
              <w:jc w:val="center"/>
              <w:rPr>
                <w:rFonts w:eastAsia="Times New Roman"/>
              </w:rPr>
            </w:pPr>
            <w:r w:rsidRPr="001D6620">
              <w:rPr>
                <w:rFonts w:eastAsia="Times New Roman"/>
              </w:rPr>
              <w:t xml:space="preserve">к </w:t>
            </w:r>
            <w:proofErr w:type="spellStart"/>
            <w:r w:rsidR="00BD21D9" w:rsidRPr="001D6620">
              <w:rPr>
                <w:rFonts w:eastAsia="Times New Roman"/>
              </w:rPr>
              <w:t>Государ-ственной</w:t>
            </w:r>
            <w:proofErr w:type="spellEnd"/>
            <w:r w:rsidR="00BD21D9" w:rsidRPr="001D6620">
              <w:rPr>
                <w:rFonts w:eastAsia="Times New Roman"/>
              </w:rPr>
              <w:t xml:space="preserve"> п</w:t>
            </w:r>
            <w:r w:rsidRPr="001D6620">
              <w:rPr>
                <w:rFonts w:eastAsia="Times New Roman"/>
              </w:rPr>
              <w:t>рограмме</w:t>
            </w:r>
          </w:p>
        </w:tc>
        <w:tc>
          <w:tcPr>
            <w:tcW w:w="999" w:type="dxa"/>
            <w:vAlign w:val="center"/>
          </w:tcPr>
          <w:p w:rsidR="007A40DF" w:rsidRPr="001D6620" w:rsidRDefault="007A40DF" w:rsidP="001D6620">
            <w:pPr>
              <w:jc w:val="center"/>
              <w:rPr>
                <w:rFonts w:eastAsia="Times New Roman"/>
              </w:rPr>
            </w:pPr>
            <w:r w:rsidRPr="001D6620">
              <w:rPr>
                <w:rFonts w:eastAsia="Times New Roman"/>
              </w:rPr>
              <w:t>к лимиту Фонда</w:t>
            </w:r>
          </w:p>
        </w:tc>
      </w:tr>
      <w:tr w:rsidR="007D7AFB" w:rsidRPr="001D6620" w:rsidTr="0095037B">
        <w:trPr>
          <w:cantSplit/>
          <w:jc w:val="center"/>
        </w:trPr>
        <w:tc>
          <w:tcPr>
            <w:tcW w:w="2972" w:type="dxa"/>
          </w:tcPr>
          <w:p w:rsidR="007D7AFB" w:rsidRPr="001D6620" w:rsidRDefault="007D7AFB" w:rsidP="001D6620">
            <w:r w:rsidRPr="001D6620">
              <w:t>Финансирование противоэпизоотических мероприятий в животноводстве</w:t>
            </w:r>
          </w:p>
        </w:tc>
        <w:tc>
          <w:tcPr>
            <w:tcW w:w="1418" w:type="dxa"/>
            <w:vAlign w:val="center"/>
          </w:tcPr>
          <w:p w:rsidR="007D7AFB" w:rsidRPr="001D6620" w:rsidRDefault="007D7AFB" w:rsidP="001D6620">
            <w:pPr>
              <w:jc w:val="right"/>
            </w:pPr>
            <w:r w:rsidRPr="001D6620">
              <w:t>500 000</w:t>
            </w:r>
          </w:p>
        </w:tc>
        <w:tc>
          <w:tcPr>
            <w:tcW w:w="1417" w:type="dxa"/>
            <w:vAlign w:val="center"/>
          </w:tcPr>
          <w:p w:rsidR="007D7AFB" w:rsidRPr="001D6620" w:rsidRDefault="007D7AFB" w:rsidP="001D6620">
            <w:pPr>
              <w:jc w:val="right"/>
            </w:pPr>
            <w:r w:rsidRPr="001D6620">
              <w:t>500 000</w:t>
            </w:r>
          </w:p>
        </w:tc>
        <w:tc>
          <w:tcPr>
            <w:tcW w:w="1418" w:type="dxa"/>
            <w:gridSpan w:val="2"/>
            <w:vAlign w:val="center"/>
          </w:tcPr>
          <w:p w:rsidR="007D7AFB" w:rsidRPr="001D6620" w:rsidRDefault="007D7AFB" w:rsidP="001D6620">
            <w:pPr>
              <w:jc w:val="right"/>
            </w:pPr>
            <w:r w:rsidRPr="001D6620">
              <w:t>491 575</w:t>
            </w:r>
          </w:p>
        </w:tc>
        <w:tc>
          <w:tcPr>
            <w:tcW w:w="1417" w:type="dxa"/>
            <w:vAlign w:val="center"/>
          </w:tcPr>
          <w:p w:rsidR="007D7AFB" w:rsidRPr="001D6620" w:rsidRDefault="007D7AFB" w:rsidP="001D6620">
            <w:pPr>
              <w:jc w:val="right"/>
            </w:pPr>
            <w:r w:rsidRPr="001D6620">
              <w:t>98,3</w:t>
            </w:r>
          </w:p>
        </w:tc>
        <w:tc>
          <w:tcPr>
            <w:tcW w:w="999" w:type="dxa"/>
            <w:vAlign w:val="center"/>
          </w:tcPr>
          <w:p w:rsidR="007D7AFB" w:rsidRPr="001D6620" w:rsidRDefault="007D7AFB" w:rsidP="001D6620">
            <w:pPr>
              <w:jc w:val="right"/>
            </w:pPr>
            <w:r w:rsidRPr="001D6620">
              <w:t>98,3</w:t>
            </w:r>
          </w:p>
        </w:tc>
      </w:tr>
      <w:tr w:rsidR="007D7AFB" w:rsidRPr="001D6620" w:rsidTr="0095037B">
        <w:trPr>
          <w:cantSplit/>
          <w:jc w:val="center"/>
        </w:trPr>
        <w:tc>
          <w:tcPr>
            <w:tcW w:w="2972" w:type="dxa"/>
          </w:tcPr>
          <w:p w:rsidR="007D7AFB" w:rsidRPr="001D6620" w:rsidRDefault="007D7AFB" w:rsidP="001D6620">
            <w:r w:rsidRPr="001D6620">
              <w:t>Дотирование объемов сдачи молока собственного производства на промышленную переработку отечественным производителям</w:t>
            </w:r>
          </w:p>
        </w:tc>
        <w:tc>
          <w:tcPr>
            <w:tcW w:w="1418" w:type="dxa"/>
            <w:vAlign w:val="center"/>
          </w:tcPr>
          <w:p w:rsidR="007D7AFB" w:rsidRPr="001D6620" w:rsidRDefault="007D7AFB" w:rsidP="001D6620">
            <w:pPr>
              <w:jc w:val="right"/>
            </w:pPr>
            <w:r w:rsidRPr="001D6620">
              <w:t>17 493 000</w:t>
            </w:r>
          </w:p>
        </w:tc>
        <w:tc>
          <w:tcPr>
            <w:tcW w:w="1417" w:type="dxa"/>
            <w:vAlign w:val="center"/>
          </w:tcPr>
          <w:p w:rsidR="007D7AFB" w:rsidRPr="001D6620" w:rsidRDefault="007D7AFB" w:rsidP="001D6620">
            <w:pPr>
              <w:jc w:val="right"/>
            </w:pPr>
            <w:r w:rsidRPr="001D6620">
              <w:t>18 812 850</w:t>
            </w:r>
          </w:p>
        </w:tc>
        <w:tc>
          <w:tcPr>
            <w:tcW w:w="1418" w:type="dxa"/>
            <w:gridSpan w:val="2"/>
            <w:vAlign w:val="center"/>
          </w:tcPr>
          <w:p w:rsidR="007D7AFB" w:rsidRPr="001D6620" w:rsidRDefault="007D7AFB" w:rsidP="001D6620">
            <w:pPr>
              <w:jc w:val="right"/>
            </w:pPr>
            <w:r w:rsidRPr="001D6620">
              <w:t>18 580 116</w:t>
            </w:r>
          </w:p>
        </w:tc>
        <w:tc>
          <w:tcPr>
            <w:tcW w:w="1417" w:type="dxa"/>
            <w:vAlign w:val="center"/>
          </w:tcPr>
          <w:p w:rsidR="007D7AFB" w:rsidRPr="001D6620" w:rsidRDefault="007D7AFB" w:rsidP="001D6620">
            <w:pPr>
              <w:jc w:val="right"/>
            </w:pPr>
            <w:r w:rsidRPr="001D6620">
              <w:t>106,2</w:t>
            </w:r>
          </w:p>
        </w:tc>
        <w:tc>
          <w:tcPr>
            <w:tcW w:w="999" w:type="dxa"/>
            <w:vAlign w:val="center"/>
          </w:tcPr>
          <w:p w:rsidR="007D7AFB" w:rsidRPr="001D6620" w:rsidRDefault="007D7AFB" w:rsidP="001D6620">
            <w:pPr>
              <w:jc w:val="right"/>
            </w:pPr>
            <w:r w:rsidRPr="001D6620">
              <w:t>98,8</w:t>
            </w:r>
          </w:p>
        </w:tc>
      </w:tr>
      <w:tr w:rsidR="007D7AFB" w:rsidRPr="001D6620" w:rsidTr="0095037B">
        <w:trPr>
          <w:cantSplit/>
          <w:jc w:val="center"/>
        </w:trPr>
        <w:tc>
          <w:tcPr>
            <w:tcW w:w="2972" w:type="dxa"/>
          </w:tcPr>
          <w:p w:rsidR="007D7AFB" w:rsidRPr="001D6620" w:rsidRDefault="007D7AFB" w:rsidP="001D6620">
            <w:r w:rsidRPr="001D6620">
              <w:t xml:space="preserve">Субсидирование части затрат на покупку племенного крупного рогатого скота молочного направления </w:t>
            </w:r>
          </w:p>
        </w:tc>
        <w:tc>
          <w:tcPr>
            <w:tcW w:w="1418" w:type="dxa"/>
            <w:vAlign w:val="center"/>
          </w:tcPr>
          <w:p w:rsidR="007D7AFB" w:rsidRPr="001D6620" w:rsidRDefault="007D7AFB" w:rsidP="001D6620">
            <w:pPr>
              <w:jc w:val="right"/>
            </w:pPr>
            <w:r w:rsidRPr="001D6620">
              <w:t>2 287 000</w:t>
            </w:r>
          </w:p>
        </w:tc>
        <w:tc>
          <w:tcPr>
            <w:tcW w:w="1417" w:type="dxa"/>
            <w:vAlign w:val="center"/>
          </w:tcPr>
          <w:p w:rsidR="007D7AFB" w:rsidRPr="001D6620" w:rsidRDefault="007D7AFB" w:rsidP="001D6620">
            <w:pPr>
              <w:jc w:val="right"/>
            </w:pPr>
            <w:r w:rsidRPr="001D6620">
              <w:t>1 680 000</w:t>
            </w:r>
          </w:p>
        </w:tc>
        <w:tc>
          <w:tcPr>
            <w:tcW w:w="1418" w:type="dxa"/>
            <w:gridSpan w:val="2"/>
            <w:vAlign w:val="center"/>
          </w:tcPr>
          <w:p w:rsidR="007D7AFB" w:rsidRPr="001D6620" w:rsidRDefault="007D7AFB" w:rsidP="001D6620">
            <w:pPr>
              <w:jc w:val="right"/>
            </w:pPr>
            <w:r w:rsidRPr="001D6620">
              <w:t>1 670 000</w:t>
            </w:r>
          </w:p>
        </w:tc>
        <w:tc>
          <w:tcPr>
            <w:tcW w:w="1417" w:type="dxa"/>
            <w:vAlign w:val="center"/>
          </w:tcPr>
          <w:p w:rsidR="007D7AFB" w:rsidRPr="001D6620" w:rsidRDefault="007D7AFB" w:rsidP="001D6620">
            <w:pPr>
              <w:jc w:val="right"/>
            </w:pPr>
            <w:r w:rsidRPr="001D6620">
              <w:t>73,0</w:t>
            </w:r>
          </w:p>
        </w:tc>
        <w:tc>
          <w:tcPr>
            <w:tcW w:w="999" w:type="dxa"/>
            <w:vAlign w:val="center"/>
          </w:tcPr>
          <w:p w:rsidR="007D7AFB" w:rsidRPr="001D6620" w:rsidRDefault="007D7AFB" w:rsidP="001D6620">
            <w:pPr>
              <w:jc w:val="right"/>
            </w:pPr>
            <w:r w:rsidRPr="001D6620">
              <w:t>99,4</w:t>
            </w:r>
          </w:p>
        </w:tc>
      </w:tr>
      <w:tr w:rsidR="007D7AFB" w:rsidRPr="001D6620" w:rsidTr="0095037B">
        <w:trPr>
          <w:cantSplit/>
          <w:jc w:val="center"/>
        </w:trPr>
        <w:tc>
          <w:tcPr>
            <w:tcW w:w="2972" w:type="dxa"/>
          </w:tcPr>
          <w:p w:rsidR="007D7AFB" w:rsidRPr="001D6620" w:rsidRDefault="007D7AFB" w:rsidP="001D6620">
            <w:r w:rsidRPr="001D6620">
              <w:t>Субсидирование покупки посадочного материала для закладки косточковых садов</w:t>
            </w:r>
          </w:p>
        </w:tc>
        <w:tc>
          <w:tcPr>
            <w:tcW w:w="1418" w:type="dxa"/>
            <w:vAlign w:val="center"/>
          </w:tcPr>
          <w:p w:rsidR="007D7AFB" w:rsidRPr="001D6620" w:rsidRDefault="007D7AFB" w:rsidP="001D6620">
            <w:pPr>
              <w:jc w:val="right"/>
            </w:pPr>
            <w:r w:rsidRPr="001D6620">
              <w:t>2 000 000</w:t>
            </w:r>
          </w:p>
        </w:tc>
        <w:tc>
          <w:tcPr>
            <w:tcW w:w="1417" w:type="dxa"/>
            <w:vAlign w:val="center"/>
          </w:tcPr>
          <w:p w:rsidR="007D7AFB" w:rsidRPr="001D6620" w:rsidRDefault="007D7AFB" w:rsidP="001D6620">
            <w:pPr>
              <w:jc w:val="right"/>
            </w:pPr>
            <w:r w:rsidRPr="001D6620">
              <w:t>0</w:t>
            </w:r>
          </w:p>
        </w:tc>
        <w:tc>
          <w:tcPr>
            <w:tcW w:w="1418" w:type="dxa"/>
            <w:gridSpan w:val="2"/>
            <w:vAlign w:val="center"/>
          </w:tcPr>
          <w:p w:rsidR="007D7AFB" w:rsidRPr="001D6620" w:rsidRDefault="007D7AFB" w:rsidP="001D6620">
            <w:pPr>
              <w:jc w:val="right"/>
            </w:pPr>
            <w:r w:rsidRPr="001D6620">
              <w:t>0</w:t>
            </w:r>
          </w:p>
        </w:tc>
        <w:tc>
          <w:tcPr>
            <w:tcW w:w="1417" w:type="dxa"/>
            <w:vAlign w:val="center"/>
          </w:tcPr>
          <w:p w:rsidR="007D7AFB" w:rsidRPr="001D6620" w:rsidRDefault="007D7AFB" w:rsidP="001D6620">
            <w:pPr>
              <w:jc w:val="right"/>
            </w:pPr>
            <w:r w:rsidRPr="001D6620">
              <w:t>0</w:t>
            </w:r>
          </w:p>
        </w:tc>
        <w:tc>
          <w:tcPr>
            <w:tcW w:w="999" w:type="dxa"/>
            <w:vAlign w:val="center"/>
          </w:tcPr>
          <w:p w:rsidR="007D7AFB" w:rsidRPr="001D6620" w:rsidRDefault="007D7AFB" w:rsidP="001D6620">
            <w:pPr>
              <w:jc w:val="right"/>
            </w:pPr>
            <w:r w:rsidRPr="001D6620">
              <w:t>0</w:t>
            </w:r>
          </w:p>
        </w:tc>
      </w:tr>
      <w:tr w:rsidR="007D7AFB" w:rsidRPr="001D6620" w:rsidTr="0095037B">
        <w:trPr>
          <w:cantSplit/>
          <w:jc w:val="center"/>
        </w:trPr>
        <w:tc>
          <w:tcPr>
            <w:tcW w:w="2972" w:type="dxa"/>
          </w:tcPr>
          <w:p w:rsidR="007D7AFB" w:rsidRPr="001D6620" w:rsidRDefault="007D7AFB" w:rsidP="001D6620">
            <w:r w:rsidRPr="001D6620">
              <w:t>Финансирование мероприятий по борьбе с карантинными вредителями, возбудителями болезней растений и сорными растениями</w:t>
            </w:r>
          </w:p>
        </w:tc>
        <w:tc>
          <w:tcPr>
            <w:tcW w:w="1418" w:type="dxa"/>
            <w:vAlign w:val="center"/>
          </w:tcPr>
          <w:p w:rsidR="007D7AFB" w:rsidRPr="001D6620" w:rsidRDefault="007D7AFB" w:rsidP="001D6620">
            <w:pPr>
              <w:jc w:val="right"/>
            </w:pPr>
            <w:r w:rsidRPr="001D6620">
              <w:t>300 000</w:t>
            </w:r>
          </w:p>
        </w:tc>
        <w:tc>
          <w:tcPr>
            <w:tcW w:w="1417" w:type="dxa"/>
            <w:vAlign w:val="center"/>
          </w:tcPr>
          <w:p w:rsidR="007D7AFB" w:rsidRPr="001D6620" w:rsidRDefault="007D7AFB" w:rsidP="001D6620">
            <w:pPr>
              <w:jc w:val="right"/>
            </w:pPr>
            <w:r w:rsidRPr="001D6620">
              <w:t>0</w:t>
            </w:r>
          </w:p>
        </w:tc>
        <w:tc>
          <w:tcPr>
            <w:tcW w:w="1418" w:type="dxa"/>
            <w:gridSpan w:val="2"/>
            <w:vAlign w:val="center"/>
          </w:tcPr>
          <w:p w:rsidR="007D7AFB" w:rsidRPr="001D6620" w:rsidRDefault="007D7AFB" w:rsidP="001D6620">
            <w:pPr>
              <w:jc w:val="right"/>
            </w:pPr>
            <w:r w:rsidRPr="001D6620">
              <w:t>0</w:t>
            </w:r>
          </w:p>
        </w:tc>
        <w:tc>
          <w:tcPr>
            <w:tcW w:w="1417" w:type="dxa"/>
            <w:vAlign w:val="center"/>
          </w:tcPr>
          <w:p w:rsidR="007D7AFB" w:rsidRPr="001D6620" w:rsidRDefault="007D7AFB" w:rsidP="001D6620">
            <w:pPr>
              <w:jc w:val="right"/>
            </w:pPr>
            <w:r w:rsidRPr="001D6620">
              <w:t>0</w:t>
            </w:r>
          </w:p>
        </w:tc>
        <w:tc>
          <w:tcPr>
            <w:tcW w:w="999" w:type="dxa"/>
            <w:vAlign w:val="center"/>
          </w:tcPr>
          <w:p w:rsidR="007D7AFB" w:rsidRPr="001D6620" w:rsidRDefault="007D7AFB" w:rsidP="001D6620">
            <w:pPr>
              <w:jc w:val="right"/>
            </w:pPr>
            <w:r w:rsidRPr="001D6620">
              <w:t>0</w:t>
            </w:r>
          </w:p>
        </w:tc>
      </w:tr>
      <w:tr w:rsidR="007D7AFB" w:rsidRPr="001D6620" w:rsidTr="0095037B">
        <w:trPr>
          <w:cantSplit/>
          <w:jc w:val="center"/>
        </w:trPr>
        <w:tc>
          <w:tcPr>
            <w:tcW w:w="2972" w:type="dxa"/>
          </w:tcPr>
          <w:p w:rsidR="007D7AFB" w:rsidRPr="001D6620" w:rsidRDefault="007D7AFB" w:rsidP="001D6620">
            <w:pPr>
              <w:rPr>
                <w:rFonts w:eastAsia="Times New Roman"/>
              </w:rPr>
            </w:pPr>
            <w:r w:rsidRPr="001D6620">
              <w:rPr>
                <w:rFonts w:eastAsia="Times New Roman"/>
              </w:rPr>
              <w:t>Приобретение ГСМ для осуществления мероприятий по ликвидации очагов произрастания и предотвращения распространения карантинного сорняка амброзии полыннолистной</w:t>
            </w:r>
          </w:p>
        </w:tc>
        <w:tc>
          <w:tcPr>
            <w:tcW w:w="1418" w:type="dxa"/>
            <w:shd w:val="clear" w:color="000000" w:fill="FFFFFF"/>
            <w:vAlign w:val="center"/>
          </w:tcPr>
          <w:p w:rsidR="007D7AFB" w:rsidRPr="001D6620" w:rsidRDefault="007D7AFB" w:rsidP="001D6620">
            <w:pPr>
              <w:jc w:val="center"/>
              <w:rPr>
                <w:rFonts w:eastAsia="Times New Roman"/>
              </w:rPr>
            </w:pPr>
            <w:r w:rsidRPr="001D6620">
              <w:rPr>
                <w:rFonts w:eastAsia="Times New Roman"/>
              </w:rPr>
              <w:t xml:space="preserve">– </w:t>
            </w:r>
          </w:p>
        </w:tc>
        <w:tc>
          <w:tcPr>
            <w:tcW w:w="1417" w:type="dxa"/>
            <w:vAlign w:val="center"/>
          </w:tcPr>
          <w:p w:rsidR="007D7AFB" w:rsidRPr="001D6620" w:rsidRDefault="007D7AFB" w:rsidP="001D6620">
            <w:pPr>
              <w:jc w:val="right"/>
            </w:pPr>
          </w:p>
        </w:tc>
        <w:tc>
          <w:tcPr>
            <w:tcW w:w="1418" w:type="dxa"/>
            <w:gridSpan w:val="2"/>
            <w:vAlign w:val="center"/>
          </w:tcPr>
          <w:p w:rsidR="007D7AFB" w:rsidRPr="001D6620" w:rsidRDefault="007D7AFB" w:rsidP="001D6620">
            <w:pPr>
              <w:jc w:val="right"/>
            </w:pPr>
          </w:p>
        </w:tc>
        <w:tc>
          <w:tcPr>
            <w:tcW w:w="1417" w:type="dxa"/>
            <w:vAlign w:val="center"/>
          </w:tcPr>
          <w:p w:rsidR="007D7AFB" w:rsidRPr="001D6620" w:rsidRDefault="007D7AFB" w:rsidP="001D6620">
            <w:pPr>
              <w:jc w:val="right"/>
            </w:pPr>
          </w:p>
        </w:tc>
        <w:tc>
          <w:tcPr>
            <w:tcW w:w="999" w:type="dxa"/>
            <w:vAlign w:val="center"/>
          </w:tcPr>
          <w:p w:rsidR="007D7AFB" w:rsidRPr="001D6620" w:rsidRDefault="007D7AFB" w:rsidP="001D6620">
            <w:pPr>
              <w:jc w:val="right"/>
            </w:pPr>
          </w:p>
        </w:tc>
      </w:tr>
      <w:tr w:rsidR="00590D62" w:rsidRPr="001D6620" w:rsidTr="0095037B">
        <w:trPr>
          <w:cantSplit/>
          <w:jc w:val="center"/>
        </w:trPr>
        <w:tc>
          <w:tcPr>
            <w:tcW w:w="2972" w:type="dxa"/>
            <w:vAlign w:val="center"/>
          </w:tcPr>
          <w:p w:rsidR="00590D62" w:rsidRPr="001D6620" w:rsidRDefault="00590D62" w:rsidP="001D6620">
            <w:pPr>
              <w:rPr>
                <w:rFonts w:eastAsia="Times New Roman"/>
              </w:rPr>
            </w:pPr>
            <w:r w:rsidRPr="001D6620">
              <w:rPr>
                <w:rFonts w:eastAsia="Times New Roman"/>
              </w:rPr>
              <w:t>Итого</w:t>
            </w:r>
          </w:p>
        </w:tc>
        <w:tc>
          <w:tcPr>
            <w:tcW w:w="1418" w:type="dxa"/>
            <w:vAlign w:val="center"/>
          </w:tcPr>
          <w:p w:rsidR="00590D62" w:rsidRPr="001D6620" w:rsidRDefault="007D7AFB" w:rsidP="001D6620">
            <w:pPr>
              <w:jc w:val="center"/>
              <w:rPr>
                <w:rFonts w:eastAsia="Times New Roman"/>
              </w:rPr>
            </w:pPr>
            <w:r w:rsidRPr="001D6620">
              <w:rPr>
                <w:rFonts w:eastAsia="Times New Roman"/>
              </w:rPr>
              <w:t>22 580 000</w:t>
            </w:r>
          </w:p>
        </w:tc>
        <w:tc>
          <w:tcPr>
            <w:tcW w:w="1417" w:type="dxa"/>
            <w:vAlign w:val="center"/>
          </w:tcPr>
          <w:p w:rsidR="00590D62" w:rsidRPr="001D6620" w:rsidRDefault="007D7AFB" w:rsidP="001D6620">
            <w:pPr>
              <w:jc w:val="center"/>
              <w:rPr>
                <w:rFonts w:eastAsia="Times New Roman"/>
              </w:rPr>
            </w:pPr>
            <w:r w:rsidRPr="001D6620">
              <w:t>20 992 850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tcPr>
          <w:p w:rsidR="00590D62" w:rsidRPr="001D6620" w:rsidRDefault="007D7AFB" w:rsidP="001D6620">
            <w:pPr>
              <w:jc w:val="center"/>
            </w:pPr>
            <w:r w:rsidRPr="001D6620">
              <w:t>20 741 691</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590D62" w:rsidRPr="001D6620" w:rsidRDefault="007D7AFB" w:rsidP="001D6620">
            <w:pPr>
              <w:jc w:val="center"/>
            </w:pPr>
            <w:r w:rsidRPr="001D6620">
              <w:t>91,9</w:t>
            </w:r>
            <w:r w:rsidR="00590D62" w:rsidRPr="001D6620">
              <w:t>%</w:t>
            </w:r>
          </w:p>
        </w:tc>
        <w:tc>
          <w:tcPr>
            <w:tcW w:w="999" w:type="dxa"/>
            <w:vAlign w:val="center"/>
          </w:tcPr>
          <w:p w:rsidR="00590D62" w:rsidRPr="001D6620" w:rsidRDefault="007D7AFB" w:rsidP="001D6620">
            <w:pPr>
              <w:jc w:val="center"/>
              <w:rPr>
                <w:rFonts w:eastAsia="Times New Roman"/>
              </w:rPr>
            </w:pPr>
            <w:r w:rsidRPr="001D6620">
              <w:t>98,8</w:t>
            </w:r>
            <w:r w:rsidR="00590D62" w:rsidRPr="001D6620">
              <w:rPr>
                <w:rFonts w:eastAsia="Times New Roman"/>
              </w:rPr>
              <w:t>%</w:t>
            </w:r>
          </w:p>
        </w:tc>
      </w:tr>
    </w:tbl>
    <w:p w:rsidR="003E7CC2" w:rsidRPr="001D6620" w:rsidRDefault="003E7CC2" w:rsidP="001D6620">
      <w:pPr>
        <w:ind w:firstLine="709"/>
        <w:jc w:val="both"/>
        <w:rPr>
          <w:sz w:val="16"/>
          <w:szCs w:val="16"/>
        </w:rPr>
      </w:pPr>
    </w:p>
    <w:p w:rsidR="00533F63" w:rsidRPr="001D6620" w:rsidRDefault="00966E71" w:rsidP="001D6620">
      <w:pPr>
        <w:ind w:firstLine="709"/>
        <w:jc w:val="both"/>
        <w:rPr>
          <w:sz w:val="28"/>
          <w:szCs w:val="28"/>
        </w:rPr>
      </w:pPr>
      <w:r w:rsidRPr="001D6620">
        <w:rPr>
          <w:sz w:val="28"/>
          <w:szCs w:val="28"/>
        </w:rPr>
        <w:t xml:space="preserve">Государственная поддержка в рамках программных мероприятий способствовала развитию положительной тенденции в молочной отрасли. </w:t>
      </w:r>
      <w:r w:rsidR="00B16B25" w:rsidRPr="001D6620">
        <w:rPr>
          <w:sz w:val="28"/>
          <w:szCs w:val="28"/>
        </w:rPr>
        <w:br/>
      </w:r>
      <w:r w:rsidRPr="001D6620">
        <w:rPr>
          <w:sz w:val="28"/>
          <w:szCs w:val="28"/>
        </w:rPr>
        <w:t>В 2024 году с</w:t>
      </w:r>
      <w:r w:rsidR="00533F63" w:rsidRPr="001D6620">
        <w:rPr>
          <w:sz w:val="28"/>
          <w:szCs w:val="28"/>
        </w:rPr>
        <w:t xml:space="preserve">охранилась динамика роста производственных показателей, что </w:t>
      </w:r>
      <w:r w:rsidR="00533F63" w:rsidRPr="001D6620">
        <w:rPr>
          <w:sz w:val="28"/>
          <w:szCs w:val="28"/>
        </w:rPr>
        <w:lastRenderedPageBreak/>
        <w:t>обусловлено эффективной работой большинства сельскохозяйственных организаций, реализацией крупных инвестиционных проектов, повышением технологического уровня молочного животноводства, формированием стада, обладающего высоким генетическим потенциалом, а также развитием малых форм хозяйствования в виде крестьянских (фермерских) хозяйств.</w:t>
      </w:r>
    </w:p>
    <w:p w:rsidR="00533F63" w:rsidRPr="001D6620" w:rsidRDefault="00533F63" w:rsidP="001D6620">
      <w:pPr>
        <w:ind w:firstLine="709"/>
        <w:jc w:val="both"/>
        <w:rPr>
          <w:sz w:val="28"/>
          <w:szCs w:val="28"/>
        </w:rPr>
      </w:pPr>
      <w:r w:rsidRPr="001D6620">
        <w:rPr>
          <w:sz w:val="28"/>
          <w:szCs w:val="28"/>
        </w:rPr>
        <w:t>Поголовье коров за год в сельскохозяйственных организациях и крестьянских (фермерских) хозяйствах увеличилось на 58 голов, а рост объемов производства молока составил 690 тонн. Продуктивность коров выросла на 7</w:t>
      </w:r>
      <w:r w:rsidR="000A221F" w:rsidRPr="001D6620">
        <w:rPr>
          <w:sz w:val="28"/>
          <w:szCs w:val="28"/>
        </w:rPr>
        <w:t xml:space="preserve"> процентов</w:t>
      </w:r>
      <w:r w:rsidRPr="001D6620">
        <w:rPr>
          <w:sz w:val="28"/>
          <w:szCs w:val="28"/>
        </w:rPr>
        <w:t xml:space="preserve"> за счет ввезенного племенного скота таких пород, как </w:t>
      </w:r>
      <w:proofErr w:type="spellStart"/>
      <w:r w:rsidRPr="001D6620">
        <w:rPr>
          <w:sz w:val="28"/>
          <w:szCs w:val="28"/>
        </w:rPr>
        <w:t>голштино</w:t>
      </w:r>
      <w:proofErr w:type="spellEnd"/>
      <w:r w:rsidRPr="001D6620">
        <w:rPr>
          <w:sz w:val="28"/>
          <w:szCs w:val="28"/>
        </w:rPr>
        <w:t>-фризская, симментальская</w:t>
      </w:r>
      <w:r w:rsidR="000A221F" w:rsidRPr="001D6620">
        <w:rPr>
          <w:sz w:val="28"/>
          <w:szCs w:val="28"/>
        </w:rPr>
        <w:t>,</w:t>
      </w:r>
      <w:r w:rsidRPr="001D6620">
        <w:rPr>
          <w:sz w:val="28"/>
          <w:szCs w:val="28"/>
        </w:rPr>
        <w:t xml:space="preserve"> и выбраковки </w:t>
      </w:r>
      <w:proofErr w:type="spellStart"/>
      <w:r w:rsidRPr="001D6620">
        <w:rPr>
          <w:sz w:val="28"/>
          <w:szCs w:val="28"/>
        </w:rPr>
        <w:t>низкопродуктивных</w:t>
      </w:r>
      <w:proofErr w:type="spellEnd"/>
      <w:r w:rsidRPr="001D6620">
        <w:rPr>
          <w:sz w:val="28"/>
          <w:szCs w:val="28"/>
        </w:rPr>
        <w:t xml:space="preserve"> животных.</w:t>
      </w:r>
      <w:r w:rsidR="009D4156" w:rsidRPr="001D6620">
        <w:rPr>
          <w:sz w:val="28"/>
          <w:szCs w:val="28"/>
        </w:rPr>
        <w:t xml:space="preserve"> Импорт молока, используемого в производстве молочной продукции в качестве сырья, ввиду полного задействования</w:t>
      </w:r>
      <w:r w:rsidR="00581E4F" w:rsidRPr="001D6620">
        <w:rPr>
          <w:sz w:val="28"/>
          <w:szCs w:val="28"/>
        </w:rPr>
        <w:t xml:space="preserve"> в </w:t>
      </w:r>
      <w:r w:rsidR="009D4156" w:rsidRPr="001D6620">
        <w:rPr>
          <w:sz w:val="28"/>
          <w:szCs w:val="28"/>
        </w:rPr>
        <w:t>производственной мощности предприятий молочной промышленности, в течение двух лет прекращен.</w:t>
      </w:r>
    </w:p>
    <w:p w:rsidR="00533F63" w:rsidRPr="001D6620" w:rsidRDefault="00533F63" w:rsidP="001D6620">
      <w:pPr>
        <w:ind w:firstLine="709"/>
        <w:jc w:val="both"/>
        <w:rPr>
          <w:sz w:val="28"/>
          <w:szCs w:val="28"/>
        </w:rPr>
      </w:pPr>
      <w:r w:rsidRPr="001D6620">
        <w:rPr>
          <w:sz w:val="28"/>
          <w:szCs w:val="28"/>
        </w:rPr>
        <w:t>Общий объем молока, подлежащий дотированию за январь</w:t>
      </w:r>
      <w:r w:rsidR="000A221F" w:rsidRPr="001D6620">
        <w:rPr>
          <w:sz w:val="28"/>
          <w:szCs w:val="28"/>
        </w:rPr>
        <w:t xml:space="preserve"> – </w:t>
      </w:r>
      <w:r w:rsidRPr="001D6620">
        <w:rPr>
          <w:sz w:val="28"/>
          <w:szCs w:val="28"/>
        </w:rPr>
        <w:t xml:space="preserve">декабрь </w:t>
      </w:r>
      <w:r w:rsidR="00B77289" w:rsidRPr="001D6620">
        <w:rPr>
          <w:sz w:val="28"/>
          <w:szCs w:val="28"/>
        </w:rPr>
        <w:br/>
      </w:r>
      <w:r w:rsidRPr="001D6620">
        <w:rPr>
          <w:sz w:val="28"/>
          <w:szCs w:val="28"/>
        </w:rPr>
        <w:t>2024 года в зачетном весе (при базисной жирности 3,5</w:t>
      </w:r>
      <w:r w:rsidR="00DD3554" w:rsidRPr="001D6620">
        <w:rPr>
          <w:sz w:val="28"/>
          <w:szCs w:val="28"/>
        </w:rPr>
        <w:t xml:space="preserve"> процента</w:t>
      </w:r>
      <w:r w:rsidRPr="001D6620">
        <w:rPr>
          <w:sz w:val="28"/>
          <w:szCs w:val="28"/>
        </w:rPr>
        <w:t xml:space="preserve">), составил </w:t>
      </w:r>
      <w:r w:rsidR="00B77289" w:rsidRPr="001D6620">
        <w:rPr>
          <w:sz w:val="28"/>
          <w:szCs w:val="28"/>
        </w:rPr>
        <w:br/>
      </w:r>
      <w:r w:rsidRPr="001D6620">
        <w:rPr>
          <w:sz w:val="28"/>
          <w:szCs w:val="28"/>
        </w:rPr>
        <w:t>18</w:t>
      </w:r>
      <w:r w:rsidR="00B77289" w:rsidRPr="001D6620">
        <w:rPr>
          <w:sz w:val="28"/>
          <w:szCs w:val="28"/>
        </w:rPr>
        <w:t> </w:t>
      </w:r>
      <w:r w:rsidRPr="001D6620">
        <w:rPr>
          <w:sz w:val="28"/>
          <w:szCs w:val="28"/>
        </w:rPr>
        <w:t>799</w:t>
      </w:r>
      <w:r w:rsidR="00B77289" w:rsidRPr="001D6620">
        <w:rPr>
          <w:sz w:val="28"/>
          <w:szCs w:val="28"/>
        </w:rPr>
        <w:t> </w:t>
      </w:r>
      <w:r w:rsidRPr="001D6620">
        <w:rPr>
          <w:sz w:val="28"/>
          <w:szCs w:val="28"/>
        </w:rPr>
        <w:t>612</w:t>
      </w:r>
      <w:r w:rsidR="00B77289" w:rsidRPr="001D6620">
        <w:rPr>
          <w:sz w:val="28"/>
          <w:szCs w:val="28"/>
        </w:rPr>
        <w:t xml:space="preserve"> </w:t>
      </w:r>
      <w:r w:rsidRPr="001D6620">
        <w:rPr>
          <w:sz w:val="28"/>
          <w:szCs w:val="28"/>
        </w:rPr>
        <w:t>кг, что на 5,3</w:t>
      </w:r>
      <w:r w:rsidR="00DD3554" w:rsidRPr="001D6620">
        <w:rPr>
          <w:sz w:val="28"/>
          <w:szCs w:val="28"/>
        </w:rPr>
        <w:t xml:space="preserve"> процента</w:t>
      </w:r>
      <w:r w:rsidRPr="001D6620">
        <w:rPr>
          <w:sz w:val="28"/>
          <w:szCs w:val="28"/>
        </w:rPr>
        <w:t xml:space="preserve"> больше по сравнению с аналогичным периодом прошлого года.</w:t>
      </w:r>
    </w:p>
    <w:p w:rsidR="00533F63" w:rsidRPr="001D6620" w:rsidRDefault="00533F63" w:rsidP="001D6620">
      <w:pPr>
        <w:ind w:firstLine="709"/>
        <w:jc w:val="both"/>
        <w:rPr>
          <w:sz w:val="28"/>
          <w:szCs w:val="28"/>
        </w:rPr>
      </w:pPr>
      <w:r w:rsidRPr="001D6620">
        <w:rPr>
          <w:sz w:val="28"/>
          <w:szCs w:val="28"/>
        </w:rPr>
        <w:t xml:space="preserve">Для решения проблемы пополнения дойного стада, а также улучшения породного состава в 2024 году продолжала действовать государственная поддержка животноводческим предприятиям в виде предоставления субсидий вследствие приобретения импортных племенных нетелей, а также субсидий на покупку племенных животных (нетели, коровы) на внутреннем рынке. </w:t>
      </w:r>
    </w:p>
    <w:p w:rsidR="00533F63" w:rsidRPr="001D6620" w:rsidRDefault="00533F63" w:rsidP="001D6620">
      <w:pPr>
        <w:ind w:firstLine="709"/>
        <w:jc w:val="both"/>
        <w:rPr>
          <w:sz w:val="28"/>
          <w:szCs w:val="28"/>
        </w:rPr>
      </w:pPr>
      <w:r w:rsidRPr="001D6620">
        <w:rPr>
          <w:sz w:val="28"/>
          <w:szCs w:val="28"/>
        </w:rPr>
        <w:t>В 2024 году были предоставлены субсидии на поголовье животных в количестве 140 голов на общую сумму 1</w:t>
      </w:r>
      <w:r w:rsidR="00B77289" w:rsidRPr="001D6620">
        <w:rPr>
          <w:sz w:val="28"/>
          <w:szCs w:val="28"/>
        </w:rPr>
        <w:t> </w:t>
      </w:r>
      <w:r w:rsidRPr="001D6620">
        <w:rPr>
          <w:sz w:val="28"/>
          <w:szCs w:val="28"/>
        </w:rPr>
        <w:t>670</w:t>
      </w:r>
      <w:r w:rsidR="00B77289" w:rsidRPr="001D6620">
        <w:rPr>
          <w:sz w:val="28"/>
          <w:szCs w:val="28"/>
        </w:rPr>
        <w:t> </w:t>
      </w:r>
      <w:r w:rsidRPr="001D6620">
        <w:rPr>
          <w:sz w:val="28"/>
          <w:szCs w:val="28"/>
        </w:rPr>
        <w:t>000</w:t>
      </w:r>
      <w:r w:rsidR="00B77289" w:rsidRPr="001D6620">
        <w:rPr>
          <w:sz w:val="28"/>
          <w:szCs w:val="28"/>
        </w:rPr>
        <w:t xml:space="preserve"> </w:t>
      </w:r>
      <w:r w:rsidRPr="001D6620">
        <w:rPr>
          <w:sz w:val="28"/>
          <w:szCs w:val="28"/>
        </w:rPr>
        <w:t>рублей.</w:t>
      </w:r>
    </w:p>
    <w:p w:rsidR="00533F63" w:rsidRPr="001D6620" w:rsidRDefault="00966E71" w:rsidP="001D6620">
      <w:pPr>
        <w:ind w:firstLine="709"/>
        <w:jc w:val="both"/>
        <w:rPr>
          <w:sz w:val="28"/>
          <w:szCs w:val="28"/>
        </w:rPr>
      </w:pPr>
      <w:r w:rsidRPr="001D6620">
        <w:rPr>
          <w:sz w:val="28"/>
          <w:szCs w:val="28"/>
        </w:rPr>
        <w:t>В</w:t>
      </w:r>
      <w:r w:rsidR="00533F63" w:rsidRPr="001D6620">
        <w:rPr>
          <w:sz w:val="28"/>
          <w:szCs w:val="28"/>
        </w:rPr>
        <w:t xml:space="preserve"> течение установленного срока постоянно ведется контроль за количеством выбывших животных, на которых ранее были предоставлены субсидии. Организациями, в которых превышен допустимый уровень выбытия животных, в Фонд в 2024 году возвращено 533</w:t>
      </w:r>
      <w:r w:rsidR="00B77289" w:rsidRPr="001D6620">
        <w:rPr>
          <w:sz w:val="28"/>
          <w:szCs w:val="28"/>
        </w:rPr>
        <w:t> </w:t>
      </w:r>
      <w:r w:rsidR="00533F63" w:rsidRPr="001D6620">
        <w:rPr>
          <w:sz w:val="28"/>
          <w:szCs w:val="28"/>
        </w:rPr>
        <w:t>000</w:t>
      </w:r>
      <w:r w:rsidR="00B77289" w:rsidRPr="001D6620">
        <w:rPr>
          <w:sz w:val="28"/>
          <w:szCs w:val="28"/>
        </w:rPr>
        <w:t xml:space="preserve"> </w:t>
      </w:r>
      <w:r w:rsidR="00533F63" w:rsidRPr="001D6620">
        <w:rPr>
          <w:sz w:val="28"/>
          <w:szCs w:val="28"/>
        </w:rPr>
        <w:t>рублей.</w:t>
      </w:r>
    </w:p>
    <w:p w:rsidR="00581E4F" w:rsidRPr="001D6620" w:rsidRDefault="00581E4F" w:rsidP="001D6620">
      <w:pPr>
        <w:ind w:firstLine="709"/>
        <w:jc w:val="both"/>
        <w:rPr>
          <w:sz w:val="28"/>
          <w:szCs w:val="28"/>
        </w:rPr>
      </w:pPr>
      <w:r w:rsidRPr="001D6620">
        <w:rPr>
          <w:sz w:val="28"/>
          <w:szCs w:val="28"/>
        </w:rPr>
        <w:t>В целом население республики обеспечено свежим, охлажденным мясом основных видов животных, дефицита на рынке не наблюдается. Кроме того, большое распространение получила сеть фирменных «мясных» магазинов от производителей.</w:t>
      </w:r>
    </w:p>
    <w:p w:rsidR="00581E4F" w:rsidRPr="001D6620" w:rsidRDefault="00581E4F" w:rsidP="001D6620">
      <w:pPr>
        <w:ind w:firstLine="709"/>
        <w:jc w:val="both"/>
        <w:rPr>
          <w:sz w:val="28"/>
          <w:szCs w:val="28"/>
        </w:rPr>
      </w:pPr>
      <w:r w:rsidRPr="001D6620">
        <w:rPr>
          <w:sz w:val="28"/>
          <w:szCs w:val="28"/>
        </w:rPr>
        <w:t xml:space="preserve">Относительно производства куриного яйца необходимо отметить незначительное снижение объемов производства в 2024 году по сравнению с 2023 годом в связи с тем, что основное предприятие в </w:t>
      </w:r>
      <w:proofErr w:type="spellStart"/>
      <w:r w:rsidRPr="001D6620">
        <w:rPr>
          <w:sz w:val="28"/>
          <w:szCs w:val="28"/>
        </w:rPr>
        <w:t>Дубоссарском</w:t>
      </w:r>
      <w:proofErr w:type="spellEnd"/>
      <w:r w:rsidRPr="001D6620">
        <w:rPr>
          <w:sz w:val="28"/>
          <w:szCs w:val="28"/>
        </w:rPr>
        <w:t xml:space="preserve"> районе, специализирующееся на производстве куриного яйца, во втором квартале </w:t>
      </w:r>
      <w:r w:rsidR="00B77289" w:rsidRPr="001D6620">
        <w:rPr>
          <w:sz w:val="28"/>
          <w:szCs w:val="28"/>
        </w:rPr>
        <w:br/>
      </w:r>
      <w:r w:rsidRPr="001D6620">
        <w:rPr>
          <w:sz w:val="28"/>
          <w:szCs w:val="28"/>
        </w:rPr>
        <w:t xml:space="preserve">2024 года обновило поголовье. </w:t>
      </w:r>
      <w:r w:rsidRPr="001D6620">
        <w:rPr>
          <w:sz w:val="28"/>
          <w:szCs w:val="28"/>
          <w:shd w:val="clear" w:color="auto" w:fill="FFFFFF"/>
        </w:rPr>
        <w:t xml:space="preserve">Для увеличения объемов производства в ряде хозяйств были отремонтированы и переоборудованы птичники с учетом современных технологий содержания птицы, закуплен молодняк кур-несушек пород, адаптированных к местным условиям. Ожидается, что к концу </w:t>
      </w:r>
      <w:r w:rsidR="00B77289" w:rsidRPr="001D6620">
        <w:rPr>
          <w:sz w:val="28"/>
          <w:szCs w:val="28"/>
          <w:shd w:val="clear" w:color="auto" w:fill="FFFFFF"/>
        </w:rPr>
        <w:br/>
      </w:r>
      <w:r w:rsidRPr="001D6620">
        <w:rPr>
          <w:sz w:val="28"/>
          <w:szCs w:val="28"/>
          <w:shd w:val="clear" w:color="auto" w:fill="FFFFFF"/>
        </w:rPr>
        <w:t>2025 года объем производства куриных яиц вырастет. В целом отрасль демонстрирует положительную динамику развития.</w:t>
      </w:r>
    </w:p>
    <w:p w:rsidR="00533F63" w:rsidRPr="001D6620" w:rsidRDefault="00533F63" w:rsidP="001D6620">
      <w:pPr>
        <w:ind w:firstLine="709"/>
        <w:jc w:val="both"/>
        <w:rPr>
          <w:sz w:val="28"/>
          <w:szCs w:val="28"/>
        </w:rPr>
      </w:pPr>
      <w:r w:rsidRPr="001D6620">
        <w:rPr>
          <w:sz w:val="28"/>
          <w:szCs w:val="28"/>
        </w:rPr>
        <w:lastRenderedPageBreak/>
        <w:t xml:space="preserve">В 2024 году из </w:t>
      </w:r>
      <w:r w:rsidR="00713417" w:rsidRPr="001D6620">
        <w:rPr>
          <w:sz w:val="28"/>
          <w:szCs w:val="28"/>
        </w:rPr>
        <w:t>Фонда</w:t>
      </w:r>
      <w:r w:rsidRPr="001D6620">
        <w:rPr>
          <w:sz w:val="28"/>
          <w:szCs w:val="28"/>
        </w:rPr>
        <w:t xml:space="preserve"> выделено 491</w:t>
      </w:r>
      <w:r w:rsidR="00B77289" w:rsidRPr="001D6620">
        <w:rPr>
          <w:sz w:val="28"/>
          <w:szCs w:val="28"/>
        </w:rPr>
        <w:t> </w:t>
      </w:r>
      <w:r w:rsidRPr="001D6620">
        <w:rPr>
          <w:sz w:val="28"/>
          <w:szCs w:val="28"/>
        </w:rPr>
        <w:t>575</w:t>
      </w:r>
      <w:r w:rsidR="00B77289" w:rsidRPr="001D6620">
        <w:rPr>
          <w:sz w:val="28"/>
          <w:szCs w:val="28"/>
        </w:rPr>
        <w:t xml:space="preserve"> </w:t>
      </w:r>
      <w:r w:rsidRPr="001D6620">
        <w:rPr>
          <w:sz w:val="28"/>
          <w:szCs w:val="28"/>
        </w:rPr>
        <w:t xml:space="preserve">рублей на приобретение вакцины и </w:t>
      </w:r>
      <w:proofErr w:type="spellStart"/>
      <w:r w:rsidRPr="001D6620">
        <w:rPr>
          <w:sz w:val="28"/>
          <w:szCs w:val="28"/>
        </w:rPr>
        <w:t>диагностикумов</w:t>
      </w:r>
      <w:proofErr w:type="spellEnd"/>
      <w:r w:rsidRPr="001D6620">
        <w:rPr>
          <w:sz w:val="28"/>
          <w:szCs w:val="28"/>
        </w:rPr>
        <w:t xml:space="preserve"> для проведения противоэпизоотических мероприятий на территории Приднестровской Молдавской Республики.</w:t>
      </w:r>
    </w:p>
    <w:p w:rsidR="00533F63" w:rsidRPr="001D6620" w:rsidRDefault="007F3492" w:rsidP="001D6620">
      <w:pPr>
        <w:ind w:firstLine="709"/>
        <w:jc w:val="both"/>
        <w:rPr>
          <w:sz w:val="28"/>
          <w:szCs w:val="28"/>
        </w:rPr>
      </w:pPr>
      <w:r w:rsidRPr="001D6620">
        <w:rPr>
          <w:sz w:val="28"/>
          <w:szCs w:val="28"/>
        </w:rPr>
        <w:t xml:space="preserve">В направлении </w:t>
      </w:r>
      <w:r w:rsidR="00BA1AC0" w:rsidRPr="001D6620">
        <w:rPr>
          <w:sz w:val="28"/>
          <w:szCs w:val="28"/>
        </w:rPr>
        <w:t>плодоводства</w:t>
      </w:r>
      <w:r w:rsidRPr="001D6620">
        <w:rPr>
          <w:sz w:val="28"/>
          <w:szCs w:val="28"/>
        </w:rPr>
        <w:t xml:space="preserve"> х</w:t>
      </w:r>
      <w:r w:rsidR="00533F63" w:rsidRPr="001D6620">
        <w:rPr>
          <w:sz w:val="28"/>
          <w:szCs w:val="28"/>
        </w:rPr>
        <w:t>озяйствующими субъектами ведется закладка многолетних насаждений, включая орехоплодные культуры и ягодники.</w:t>
      </w:r>
    </w:p>
    <w:p w:rsidR="00533F63" w:rsidRPr="001D6620" w:rsidRDefault="00533F63" w:rsidP="001D6620">
      <w:pPr>
        <w:ind w:firstLine="709"/>
        <w:jc w:val="both"/>
        <w:rPr>
          <w:sz w:val="28"/>
          <w:szCs w:val="28"/>
        </w:rPr>
      </w:pPr>
      <w:r w:rsidRPr="001D6620">
        <w:rPr>
          <w:sz w:val="28"/>
          <w:szCs w:val="28"/>
        </w:rPr>
        <w:t xml:space="preserve">Всего в 2024 году высажено 371,9 га молодых насаждений, в том </w:t>
      </w:r>
      <w:r w:rsidR="00752CB8" w:rsidRPr="001D6620">
        <w:rPr>
          <w:sz w:val="28"/>
          <w:szCs w:val="28"/>
        </w:rPr>
        <w:br/>
      </w:r>
      <w:r w:rsidRPr="001D6620">
        <w:rPr>
          <w:sz w:val="28"/>
          <w:szCs w:val="28"/>
        </w:rPr>
        <w:t>числе 349 га</w:t>
      </w:r>
      <w:r w:rsidR="002C4B53" w:rsidRPr="001D6620">
        <w:rPr>
          <w:sz w:val="28"/>
          <w:szCs w:val="28"/>
        </w:rPr>
        <w:t xml:space="preserve"> садов</w:t>
      </w:r>
      <w:r w:rsidRPr="001D6620">
        <w:rPr>
          <w:sz w:val="28"/>
          <w:szCs w:val="28"/>
        </w:rPr>
        <w:t>, 1 га</w:t>
      </w:r>
      <w:r w:rsidR="002C4B53" w:rsidRPr="001D6620">
        <w:rPr>
          <w:sz w:val="28"/>
          <w:szCs w:val="28"/>
        </w:rPr>
        <w:t xml:space="preserve"> виноградников</w:t>
      </w:r>
      <w:r w:rsidRPr="001D6620">
        <w:rPr>
          <w:sz w:val="28"/>
          <w:szCs w:val="28"/>
        </w:rPr>
        <w:t>, 21,9 га</w:t>
      </w:r>
      <w:r w:rsidR="002C4B53" w:rsidRPr="001D6620">
        <w:rPr>
          <w:sz w:val="28"/>
          <w:szCs w:val="28"/>
        </w:rPr>
        <w:t xml:space="preserve"> орехоплодных</w:t>
      </w:r>
      <w:r w:rsidRPr="001D6620">
        <w:rPr>
          <w:sz w:val="28"/>
          <w:szCs w:val="28"/>
        </w:rPr>
        <w:t>.</w:t>
      </w:r>
    </w:p>
    <w:p w:rsidR="00533F63" w:rsidRPr="001D6620" w:rsidRDefault="00533F63" w:rsidP="001D6620">
      <w:pPr>
        <w:ind w:firstLine="709"/>
        <w:jc w:val="both"/>
        <w:rPr>
          <w:sz w:val="28"/>
          <w:szCs w:val="28"/>
        </w:rPr>
      </w:pPr>
      <w:r w:rsidRPr="001D6620">
        <w:rPr>
          <w:sz w:val="28"/>
          <w:szCs w:val="28"/>
        </w:rPr>
        <w:t>Введено в эксплуатацию молодых насаждений, вступивших в плодоношение, 135,6 га, в том числе 114 га</w:t>
      </w:r>
      <w:r w:rsidR="00BB6ADC" w:rsidRPr="001D6620">
        <w:rPr>
          <w:sz w:val="28"/>
          <w:szCs w:val="28"/>
        </w:rPr>
        <w:t xml:space="preserve"> садов</w:t>
      </w:r>
      <w:r w:rsidRPr="001D6620">
        <w:rPr>
          <w:sz w:val="28"/>
          <w:szCs w:val="28"/>
        </w:rPr>
        <w:t>, 4 га</w:t>
      </w:r>
      <w:r w:rsidR="00BB6ADC" w:rsidRPr="001D6620">
        <w:rPr>
          <w:sz w:val="28"/>
          <w:szCs w:val="28"/>
        </w:rPr>
        <w:t xml:space="preserve"> виноградников</w:t>
      </w:r>
      <w:r w:rsidRPr="001D6620">
        <w:rPr>
          <w:sz w:val="28"/>
          <w:szCs w:val="28"/>
        </w:rPr>
        <w:t>, 4,2 га</w:t>
      </w:r>
      <w:r w:rsidR="00BB6ADC" w:rsidRPr="001D6620">
        <w:rPr>
          <w:sz w:val="28"/>
          <w:szCs w:val="28"/>
        </w:rPr>
        <w:t xml:space="preserve"> орехоплодных</w:t>
      </w:r>
      <w:r w:rsidRPr="001D6620">
        <w:rPr>
          <w:sz w:val="28"/>
          <w:szCs w:val="28"/>
        </w:rPr>
        <w:t>, 13,4 га</w:t>
      </w:r>
      <w:r w:rsidR="00BB6ADC" w:rsidRPr="001D6620">
        <w:rPr>
          <w:sz w:val="28"/>
          <w:szCs w:val="28"/>
        </w:rPr>
        <w:t xml:space="preserve"> ягодников</w:t>
      </w:r>
      <w:r w:rsidRPr="001D6620">
        <w:rPr>
          <w:sz w:val="28"/>
          <w:szCs w:val="28"/>
        </w:rPr>
        <w:t>.</w:t>
      </w:r>
    </w:p>
    <w:p w:rsidR="00533F63" w:rsidRPr="001D6620" w:rsidRDefault="00533F63" w:rsidP="001D6620">
      <w:pPr>
        <w:ind w:firstLine="709"/>
        <w:jc w:val="both"/>
        <w:rPr>
          <w:sz w:val="28"/>
          <w:szCs w:val="28"/>
        </w:rPr>
      </w:pPr>
      <w:r w:rsidRPr="001D6620">
        <w:rPr>
          <w:sz w:val="28"/>
          <w:szCs w:val="28"/>
        </w:rPr>
        <w:t>В 2024 году было раскорчевано 387,6 га списанных многолетних насаждений, в том числе 222 га садов, 125,3 га виноградников, 4</w:t>
      </w:r>
      <w:r w:rsidR="00BA1AC0" w:rsidRPr="001D6620">
        <w:rPr>
          <w:sz w:val="28"/>
          <w:szCs w:val="28"/>
        </w:rPr>
        <w:t xml:space="preserve">0,3 га орехоплодных насаждений, </w:t>
      </w:r>
      <w:r w:rsidRPr="001D6620">
        <w:rPr>
          <w:sz w:val="28"/>
          <w:szCs w:val="28"/>
        </w:rPr>
        <w:t>90,5 га прочих древесно-кустарниковых насаждений с последующим переводом в пашню.</w:t>
      </w:r>
    </w:p>
    <w:p w:rsidR="00BA1AC0" w:rsidRPr="001D6620" w:rsidRDefault="00BA1AC0" w:rsidP="001D6620">
      <w:pPr>
        <w:ind w:firstLine="709"/>
        <w:jc w:val="both"/>
        <w:rPr>
          <w:sz w:val="28"/>
          <w:szCs w:val="28"/>
        </w:rPr>
      </w:pPr>
      <w:r w:rsidRPr="001D6620">
        <w:rPr>
          <w:sz w:val="28"/>
          <w:szCs w:val="28"/>
        </w:rPr>
        <w:t>В направлении растениеводства в 2024 году зафиксировано уменьшение объемов производства зерновых и пшеницы к уровню 2023 года, что обусловлено как сокращением площади посева озимых культур, так и снижением урожайности на 2</w:t>
      </w:r>
      <w:r w:rsidR="00E55632" w:rsidRPr="001D6620">
        <w:rPr>
          <w:sz w:val="28"/>
          <w:szCs w:val="28"/>
        </w:rPr>
        <w:t>–</w:t>
      </w:r>
      <w:r w:rsidRPr="001D6620">
        <w:rPr>
          <w:sz w:val="28"/>
          <w:szCs w:val="28"/>
        </w:rPr>
        <w:t xml:space="preserve">3 ц/га. Сокращение посевной площади под озимыми культурами обусловлено неблагоприятными по влагообеспеченности условиями осеннего сева. Тем не менее полученный в 2024 году объем зерна позволил полностью удовлетворить потребность республики в хлебе и обеспечить поставку зерна на экспорт. </w:t>
      </w:r>
    </w:p>
    <w:p w:rsidR="00BA1AC0" w:rsidRPr="001D6620" w:rsidRDefault="00BA1AC0" w:rsidP="001D6620">
      <w:pPr>
        <w:ind w:firstLine="709"/>
        <w:jc w:val="both"/>
        <w:rPr>
          <w:sz w:val="28"/>
          <w:szCs w:val="28"/>
        </w:rPr>
      </w:pPr>
      <w:r w:rsidRPr="001D6620">
        <w:rPr>
          <w:sz w:val="28"/>
          <w:szCs w:val="28"/>
        </w:rPr>
        <w:t>Аномально высокие температуры июля</w:t>
      </w:r>
      <w:r w:rsidR="00E55632" w:rsidRPr="001D6620">
        <w:rPr>
          <w:sz w:val="28"/>
          <w:szCs w:val="28"/>
        </w:rPr>
        <w:t xml:space="preserve">, </w:t>
      </w:r>
      <w:r w:rsidRPr="001D6620">
        <w:rPr>
          <w:sz w:val="28"/>
          <w:szCs w:val="28"/>
        </w:rPr>
        <w:t xml:space="preserve">августа </w:t>
      </w:r>
      <w:r w:rsidR="00A72258" w:rsidRPr="001D6620">
        <w:rPr>
          <w:sz w:val="28"/>
          <w:szCs w:val="28"/>
        </w:rPr>
        <w:t xml:space="preserve">2024 года </w:t>
      </w:r>
      <w:r w:rsidRPr="001D6620">
        <w:rPr>
          <w:sz w:val="28"/>
          <w:szCs w:val="28"/>
        </w:rPr>
        <w:t xml:space="preserve">негативно отразились на урожайности и валовом сборе сельскохозяйственных культур второй группы. Валовой сбор подсолнечника составил 94,2 тыс. тонн, что на 11,5 тыс. тонн меньше прошлогодних показателей. Средняя урожайность данной культуры в 2024 году составила 15,3 ц/га, </w:t>
      </w:r>
      <w:r w:rsidR="00A72258" w:rsidRPr="001D6620">
        <w:rPr>
          <w:sz w:val="28"/>
          <w:szCs w:val="28"/>
        </w:rPr>
        <w:t>что на 4,9 ц/га ниже урожайности 2023 года</w:t>
      </w:r>
      <w:r w:rsidRPr="001D6620">
        <w:rPr>
          <w:sz w:val="28"/>
          <w:szCs w:val="28"/>
        </w:rPr>
        <w:t>. Урожай кукурузы на зерно также значительно ниже ожидаемого. Средняя урожайность данной культуры в 2024 году составила 38,3 ц/га против 59,3 ц/га в 2023 году.</w:t>
      </w:r>
    </w:p>
    <w:p w:rsidR="00BA1AC0" w:rsidRPr="001D6620" w:rsidRDefault="00BA1AC0" w:rsidP="001D6620">
      <w:pPr>
        <w:ind w:firstLine="709"/>
        <w:jc w:val="both"/>
        <w:rPr>
          <w:sz w:val="28"/>
          <w:szCs w:val="28"/>
        </w:rPr>
      </w:pPr>
      <w:r w:rsidRPr="001D6620">
        <w:rPr>
          <w:sz w:val="28"/>
          <w:szCs w:val="28"/>
        </w:rPr>
        <w:t>Неблагоприятные погодные условия, а именно аномально высокие температуры и в воздухе, и на почве</w:t>
      </w:r>
      <w:r w:rsidR="00E07F16" w:rsidRPr="001D6620">
        <w:rPr>
          <w:sz w:val="28"/>
          <w:szCs w:val="28"/>
        </w:rPr>
        <w:t>,</w:t>
      </w:r>
      <w:r w:rsidRPr="001D6620">
        <w:rPr>
          <w:sz w:val="28"/>
          <w:szCs w:val="28"/>
        </w:rPr>
        <w:t xml:space="preserve"> также негативно отразились на развитии овощных культур. Тем не менее своими овощами республика обеспечена как сезонными, так и длительного хранения, за исключением картофеля. </w:t>
      </w:r>
    </w:p>
    <w:p w:rsidR="00BA1AC0" w:rsidRPr="001D6620" w:rsidRDefault="00BA1AC0" w:rsidP="001D6620">
      <w:pPr>
        <w:ind w:firstLine="709"/>
        <w:jc w:val="both"/>
        <w:rPr>
          <w:sz w:val="28"/>
          <w:szCs w:val="28"/>
        </w:rPr>
      </w:pPr>
      <w:r w:rsidRPr="001D6620">
        <w:rPr>
          <w:sz w:val="28"/>
          <w:szCs w:val="28"/>
        </w:rPr>
        <w:t xml:space="preserve">Погодные условия для производства винограда не были благоприятными в 2024 году, урожай практически вдвое ниже предыдущего. Средняя урожайность винограда в 2024 году меньше на 49 ц/га, чем </w:t>
      </w:r>
      <w:r w:rsidR="00B77289" w:rsidRPr="001D6620">
        <w:rPr>
          <w:sz w:val="28"/>
          <w:szCs w:val="28"/>
        </w:rPr>
        <w:br/>
      </w:r>
      <w:r w:rsidRPr="001D6620">
        <w:rPr>
          <w:sz w:val="28"/>
          <w:szCs w:val="28"/>
        </w:rPr>
        <w:t>в 2023 году.</w:t>
      </w:r>
    </w:p>
    <w:p w:rsidR="00BA1AC0" w:rsidRPr="001D6620" w:rsidRDefault="00BA1AC0" w:rsidP="001D6620">
      <w:pPr>
        <w:ind w:firstLine="709"/>
        <w:jc w:val="both"/>
        <w:rPr>
          <w:sz w:val="28"/>
          <w:szCs w:val="28"/>
        </w:rPr>
      </w:pPr>
      <w:r w:rsidRPr="001D6620">
        <w:rPr>
          <w:sz w:val="28"/>
          <w:szCs w:val="28"/>
        </w:rPr>
        <w:t>Потребность внутреннего рынка в плодах полностью обеспечена собственным производством.</w:t>
      </w:r>
    </w:p>
    <w:p w:rsidR="00B56C4E" w:rsidRPr="001D6620" w:rsidRDefault="002D042B" w:rsidP="001D6620">
      <w:pPr>
        <w:tabs>
          <w:tab w:val="num" w:pos="0"/>
        </w:tabs>
        <w:ind w:firstLine="709"/>
        <w:jc w:val="both"/>
        <w:rPr>
          <w:b/>
          <w:sz w:val="28"/>
          <w:szCs w:val="28"/>
        </w:rPr>
      </w:pPr>
      <w:r w:rsidRPr="001D6620">
        <w:rPr>
          <w:bCs/>
          <w:color w:val="000000"/>
          <w:sz w:val="28"/>
          <w:szCs w:val="28"/>
        </w:rPr>
        <w:t xml:space="preserve">На основании </w:t>
      </w:r>
      <w:r w:rsidR="00BA7140" w:rsidRPr="001D6620">
        <w:rPr>
          <w:bCs/>
          <w:color w:val="000000"/>
          <w:sz w:val="28"/>
          <w:szCs w:val="28"/>
        </w:rPr>
        <w:t xml:space="preserve">вышеизложенного, в соответствии с </w:t>
      </w:r>
      <w:r w:rsidR="009F2689" w:rsidRPr="001D6620">
        <w:rPr>
          <w:bCs/>
          <w:color w:val="000000"/>
          <w:sz w:val="28"/>
          <w:szCs w:val="28"/>
        </w:rPr>
        <w:t>главой</w:t>
      </w:r>
      <w:r w:rsidR="002569CA" w:rsidRPr="001D6620">
        <w:rPr>
          <w:bCs/>
          <w:color w:val="000000"/>
          <w:sz w:val="28"/>
          <w:szCs w:val="28"/>
        </w:rPr>
        <w:t xml:space="preserve"> 6 </w:t>
      </w:r>
      <w:r w:rsidR="00E07F16" w:rsidRPr="001D6620">
        <w:rPr>
          <w:bCs/>
          <w:color w:val="000000"/>
          <w:sz w:val="28"/>
          <w:szCs w:val="28"/>
        </w:rPr>
        <w:t xml:space="preserve">Приложения к </w:t>
      </w:r>
      <w:r w:rsidR="00A5255F" w:rsidRPr="001D6620">
        <w:rPr>
          <w:sz w:val="28"/>
          <w:szCs w:val="28"/>
        </w:rPr>
        <w:t>Закон</w:t>
      </w:r>
      <w:r w:rsidR="00E07F16" w:rsidRPr="001D6620">
        <w:rPr>
          <w:sz w:val="28"/>
          <w:szCs w:val="28"/>
        </w:rPr>
        <w:t>у</w:t>
      </w:r>
      <w:r w:rsidR="002569CA" w:rsidRPr="001D6620">
        <w:rPr>
          <w:sz w:val="28"/>
          <w:szCs w:val="28"/>
        </w:rPr>
        <w:t xml:space="preserve"> Приднестровской Молдавс</w:t>
      </w:r>
      <w:r w:rsidR="009F2689" w:rsidRPr="001D6620">
        <w:rPr>
          <w:sz w:val="28"/>
          <w:szCs w:val="28"/>
        </w:rPr>
        <w:t>кой Республики «Об утверждении Государственной программы р</w:t>
      </w:r>
      <w:r w:rsidR="00D703E5" w:rsidRPr="001D6620">
        <w:rPr>
          <w:bCs/>
          <w:sz w:val="28"/>
          <w:szCs w:val="28"/>
        </w:rPr>
        <w:t>азвити</w:t>
      </w:r>
      <w:r w:rsidR="00E07F16" w:rsidRPr="001D6620">
        <w:rPr>
          <w:bCs/>
          <w:sz w:val="28"/>
          <w:szCs w:val="28"/>
        </w:rPr>
        <w:t>я</w:t>
      </w:r>
      <w:r w:rsidR="00D703E5" w:rsidRPr="001D6620">
        <w:rPr>
          <w:bCs/>
          <w:sz w:val="28"/>
          <w:szCs w:val="28"/>
        </w:rPr>
        <w:t xml:space="preserve"> агропромышленного комплекса </w:t>
      </w:r>
      <w:r w:rsidR="00D703E5" w:rsidRPr="001D6620">
        <w:rPr>
          <w:bCs/>
          <w:sz w:val="28"/>
          <w:szCs w:val="28"/>
        </w:rPr>
        <w:lastRenderedPageBreak/>
        <w:t>Приднестровской Молдавской Республики на 2019–2026 годы»</w:t>
      </w:r>
      <w:r w:rsidR="002569CA" w:rsidRPr="001D6620">
        <w:rPr>
          <w:bCs/>
          <w:color w:val="000000"/>
          <w:sz w:val="28"/>
          <w:szCs w:val="28"/>
        </w:rPr>
        <w:t>, руководствуясь пунктом 4 статьи 100 Регламента Верховного Совета Приднестровской Молдавской Республики</w:t>
      </w:r>
      <w:r w:rsidR="00B56C4E" w:rsidRPr="001D6620">
        <w:rPr>
          <w:sz w:val="28"/>
          <w:szCs w:val="28"/>
        </w:rPr>
        <w:t xml:space="preserve">, Верховный Совет Приднестровской Молдавской Республики </w:t>
      </w:r>
      <w:r w:rsidR="00B56C4E" w:rsidRPr="001D6620">
        <w:rPr>
          <w:b/>
          <w:sz w:val="28"/>
          <w:szCs w:val="28"/>
        </w:rPr>
        <w:t>ПОСТАНОВЛЯЕТ:</w:t>
      </w:r>
    </w:p>
    <w:p w:rsidR="00D6705D" w:rsidRPr="001D6620" w:rsidRDefault="00D6705D" w:rsidP="001D6620">
      <w:pPr>
        <w:tabs>
          <w:tab w:val="num" w:pos="0"/>
        </w:tabs>
        <w:ind w:firstLine="709"/>
        <w:jc w:val="both"/>
        <w:rPr>
          <w:sz w:val="28"/>
          <w:szCs w:val="28"/>
        </w:rPr>
      </w:pPr>
    </w:p>
    <w:p w:rsidR="00B56C4E" w:rsidRPr="001D6620" w:rsidRDefault="00B56C4E" w:rsidP="001D6620">
      <w:pPr>
        <w:tabs>
          <w:tab w:val="num" w:pos="0"/>
        </w:tabs>
        <w:ind w:firstLine="709"/>
        <w:jc w:val="both"/>
        <w:rPr>
          <w:sz w:val="28"/>
          <w:szCs w:val="28"/>
        </w:rPr>
      </w:pPr>
      <w:r w:rsidRPr="001D6620">
        <w:rPr>
          <w:sz w:val="28"/>
          <w:szCs w:val="28"/>
        </w:rPr>
        <w:t>1. Утверди</w:t>
      </w:r>
      <w:r w:rsidR="009F2689" w:rsidRPr="001D6620">
        <w:rPr>
          <w:sz w:val="28"/>
          <w:szCs w:val="28"/>
        </w:rPr>
        <w:t xml:space="preserve">ть отчет об исполнении </w:t>
      </w:r>
      <w:r w:rsidR="009C73AE" w:rsidRPr="001D6620">
        <w:rPr>
          <w:sz w:val="28"/>
          <w:szCs w:val="28"/>
        </w:rPr>
        <w:t>Г</w:t>
      </w:r>
      <w:r w:rsidRPr="001D6620">
        <w:rPr>
          <w:sz w:val="28"/>
          <w:szCs w:val="28"/>
        </w:rPr>
        <w:t xml:space="preserve">осударственной программы Приднестровской Молдавской Республики </w:t>
      </w:r>
      <w:r w:rsidR="009C73AE" w:rsidRPr="001D6620">
        <w:rPr>
          <w:sz w:val="28"/>
          <w:szCs w:val="28"/>
        </w:rPr>
        <w:t>р</w:t>
      </w:r>
      <w:r w:rsidR="00A5255F" w:rsidRPr="001D6620">
        <w:rPr>
          <w:bCs/>
          <w:sz w:val="28"/>
          <w:szCs w:val="28"/>
        </w:rPr>
        <w:t>азвити</w:t>
      </w:r>
      <w:r w:rsidR="009C73AE" w:rsidRPr="001D6620">
        <w:rPr>
          <w:bCs/>
          <w:sz w:val="28"/>
          <w:szCs w:val="28"/>
        </w:rPr>
        <w:t>я</w:t>
      </w:r>
      <w:r w:rsidR="00A5255F" w:rsidRPr="001D6620">
        <w:rPr>
          <w:bCs/>
          <w:sz w:val="28"/>
          <w:szCs w:val="28"/>
        </w:rPr>
        <w:t xml:space="preserve"> агропромышленного комплекса Приднестровской Молдавск</w:t>
      </w:r>
      <w:r w:rsidR="009F2689" w:rsidRPr="001D6620">
        <w:rPr>
          <w:bCs/>
          <w:sz w:val="28"/>
          <w:szCs w:val="28"/>
        </w:rPr>
        <w:t>ой Республики на 2019–2026 годы</w:t>
      </w:r>
      <w:r w:rsidR="009C73AE" w:rsidRPr="001D6620">
        <w:rPr>
          <w:bCs/>
          <w:sz w:val="28"/>
          <w:szCs w:val="28"/>
        </w:rPr>
        <w:t xml:space="preserve"> </w:t>
      </w:r>
      <w:r w:rsidR="000207D9" w:rsidRPr="001D6620">
        <w:rPr>
          <w:bCs/>
          <w:sz w:val="28"/>
          <w:szCs w:val="28"/>
        </w:rPr>
        <w:br/>
      </w:r>
      <w:r w:rsidRPr="001D6620">
        <w:rPr>
          <w:sz w:val="28"/>
          <w:szCs w:val="28"/>
        </w:rPr>
        <w:t>за 20</w:t>
      </w:r>
      <w:r w:rsidR="00FE7C89" w:rsidRPr="001D6620">
        <w:rPr>
          <w:sz w:val="28"/>
          <w:szCs w:val="28"/>
        </w:rPr>
        <w:t>2</w:t>
      </w:r>
      <w:r w:rsidR="00C46433" w:rsidRPr="001D6620">
        <w:rPr>
          <w:sz w:val="28"/>
          <w:szCs w:val="28"/>
        </w:rPr>
        <w:t>4</w:t>
      </w:r>
      <w:r w:rsidRPr="001D6620">
        <w:rPr>
          <w:sz w:val="28"/>
          <w:szCs w:val="28"/>
        </w:rPr>
        <w:t xml:space="preserve"> год.</w:t>
      </w:r>
    </w:p>
    <w:p w:rsidR="00E07F16" w:rsidRPr="001D6620" w:rsidRDefault="00E07F16" w:rsidP="001D6620">
      <w:pPr>
        <w:tabs>
          <w:tab w:val="num" w:pos="0"/>
        </w:tabs>
        <w:ind w:firstLine="709"/>
        <w:jc w:val="both"/>
        <w:rPr>
          <w:sz w:val="28"/>
          <w:szCs w:val="28"/>
        </w:rPr>
      </w:pPr>
    </w:p>
    <w:p w:rsidR="00B56C4E" w:rsidRPr="001D6620" w:rsidRDefault="00B56C4E" w:rsidP="001D6620">
      <w:pPr>
        <w:tabs>
          <w:tab w:val="num" w:pos="0"/>
        </w:tabs>
        <w:ind w:firstLine="709"/>
        <w:jc w:val="both"/>
        <w:rPr>
          <w:sz w:val="28"/>
          <w:szCs w:val="28"/>
        </w:rPr>
      </w:pPr>
      <w:r w:rsidRPr="001D6620">
        <w:rPr>
          <w:sz w:val="28"/>
          <w:szCs w:val="28"/>
        </w:rPr>
        <w:t>2. Настоящее Постановление вступает в силу со дня подписания и подлежит официальному опубликованию.</w:t>
      </w:r>
    </w:p>
    <w:p w:rsidR="000D5D49" w:rsidRPr="001D6620" w:rsidRDefault="000D5D49" w:rsidP="001D6620">
      <w:pPr>
        <w:outlineLvl w:val="0"/>
        <w:rPr>
          <w:rFonts w:eastAsia="Times New Roman"/>
          <w:sz w:val="28"/>
          <w:szCs w:val="28"/>
        </w:rPr>
      </w:pPr>
    </w:p>
    <w:p w:rsidR="000D5D49" w:rsidRPr="001D6620" w:rsidRDefault="000D5D49" w:rsidP="001D6620">
      <w:pPr>
        <w:outlineLvl w:val="0"/>
        <w:rPr>
          <w:rFonts w:eastAsia="Times New Roman"/>
          <w:sz w:val="28"/>
          <w:szCs w:val="28"/>
        </w:rPr>
      </w:pPr>
    </w:p>
    <w:p w:rsidR="000D5D49" w:rsidRPr="001D6620" w:rsidRDefault="000D5D49" w:rsidP="001D6620">
      <w:pPr>
        <w:jc w:val="both"/>
        <w:rPr>
          <w:sz w:val="28"/>
          <w:szCs w:val="28"/>
        </w:rPr>
      </w:pPr>
    </w:p>
    <w:p w:rsidR="000D5D49" w:rsidRPr="001D6620" w:rsidRDefault="000D5D49" w:rsidP="001D6620">
      <w:pPr>
        <w:jc w:val="both"/>
        <w:rPr>
          <w:sz w:val="28"/>
          <w:szCs w:val="28"/>
        </w:rPr>
      </w:pPr>
      <w:r w:rsidRPr="001D6620">
        <w:rPr>
          <w:sz w:val="28"/>
          <w:szCs w:val="28"/>
        </w:rPr>
        <w:t xml:space="preserve">Председатель Верховного </w:t>
      </w:r>
    </w:p>
    <w:p w:rsidR="000D5D49" w:rsidRPr="001D6620" w:rsidRDefault="000D5D49" w:rsidP="001D6620">
      <w:pPr>
        <w:jc w:val="both"/>
        <w:rPr>
          <w:sz w:val="28"/>
          <w:szCs w:val="28"/>
        </w:rPr>
      </w:pPr>
      <w:r w:rsidRPr="001D6620">
        <w:rPr>
          <w:sz w:val="28"/>
          <w:szCs w:val="28"/>
        </w:rPr>
        <w:t xml:space="preserve">Совета Приднестровской </w:t>
      </w:r>
    </w:p>
    <w:p w:rsidR="000D5D49" w:rsidRPr="001D6620" w:rsidRDefault="000D5D49" w:rsidP="001D6620">
      <w:pPr>
        <w:jc w:val="both"/>
        <w:rPr>
          <w:sz w:val="28"/>
          <w:szCs w:val="28"/>
        </w:rPr>
      </w:pPr>
      <w:r w:rsidRPr="001D6620">
        <w:rPr>
          <w:sz w:val="28"/>
          <w:szCs w:val="28"/>
        </w:rPr>
        <w:t>Молдавской Республики                                                          А. В. КОРШУНОВ</w:t>
      </w:r>
    </w:p>
    <w:p w:rsidR="000D5D49" w:rsidRPr="001D6620" w:rsidRDefault="000D5D49" w:rsidP="001D6620">
      <w:pPr>
        <w:jc w:val="both"/>
        <w:rPr>
          <w:sz w:val="28"/>
          <w:szCs w:val="28"/>
        </w:rPr>
      </w:pPr>
    </w:p>
    <w:p w:rsidR="000D5D49" w:rsidRPr="001D6620" w:rsidRDefault="000D5D49" w:rsidP="001D6620">
      <w:pPr>
        <w:jc w:val="both"/>
        <w:rPr>
          <w:sz w:val="28"/>
          <w:szCs w:val="28"/>
        </w:rPr>
      </w:pPr>
      <w:r w:rsidRPr="001D6620">
        <w:rPr>
          <w:sz w:val="28"/>
          <w:szCs w:val="28"/>
        </w:rPr>
        <w:t xml:space="preserve">г. Тирасполь </w:t>
      </w:r>
    </w:p>
    <w:p w:rsidR="000D5D49" w:rsidRPr="001D6620" w:rsidRDefault="00451A85" w:rsidP="001D6620">
      <w:pPr>
        <w:jc w:val="both"/>
        <w:rPr>
          <w:sz w:val="28"/>
          <w:szCs w:val="28"/>
        </w:rPr>
      </w:pPr>
      <w:r>
        <w:rPr>
          <w:sz w:val="28"/>
          <w:szCs w:val="28"/>
        </w:rPr>
        <w:t>17</w:t>
      </w:r>
      <w:bookmarkStart w:id="0" w:name="_GoBack"/>
      <w:bookmarkEnd w:id="0"/>
      <w:r w:rsidR="000D5D49" w:rsidRPr="001D6620">
        <w:rPr>
          <w:sz w:val="28"/>
          <w:szCs w:val="28"/>
        </w:rPr>
        <w:t xml:space="preserve"> июля 2025 года</w:t>
      </w:r>
    </w:p>
    <w:p w:rsidR="000D5D49" w:rsidRPr="001D6620" w:rsidRDefault="000D5D49" w:rsidP="001D6620">
      <w:pPr>
        <w:jc w:val="both"/>
        <w:rPr>
          <w:sz w:val="28"/>
          <w:szCs w:val="28"/>
        </w:rPr>
      </w:pPr>
      <w:r w:rsidRPr="001D6620">
        <w:rPr>
          <w:sz w:val="28"/>
          <w:szCs w:val="28"/>
        </w:rPr>
        <w:t>№</w:t>
      </w:r>
      <w:r w:rsidR="0093509A">
        <w:rPr>
          <w:sz w:val="28"/>
          <w:szCs w:val="28"/>
        </w:rPr>
        <w:t xml:space="preserve"> 4083</w:t>
      </w:r>
    </w:p>
    <w:sectPr w:rsidR="000D5D49" w:rsidRPr="001D6620" w:rsidSect="00925C35">
      <w:headerReference w:type="default" r:id="rId7"/>
      <w:footerReference w:type="even"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37E" w:rsidRDefault="00DA037E">
      <w:r>
        <w:separator/>
      </w:r>
    </w:p>
  </w:endnote>
  <w:endnote w:type="continuationSeparator" w:id="0">
    <w:p w:rsidR="00DA037E" w:rsidRDefault="00DA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96" w:rsidRDefault="00E71196" w:rsidP="00E71196">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71196" w:rsidRDefault="00E711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37E" w:rsidRDefault="00DA037E">
      <w:r>
        <w:separator/>
      </w:r>
    </w:p>
  </w:footnote>
  <w:footnote w:type="continuationSeparator" w:id="0">
    <w:p w:rsidR="00DA037E" w:rsidRDefault="00DA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96" w:rsidRPr="007F011F" w:rsidRDefault="00E71196">
    <w:pPr>
      <w:pStyle w:val="a4"/>
      <w:jc w:val="center"/>
      <w:rPr>
        <w:rFonts w:ascii="Times New Roman" w:hAnsi="Times New Roman"/>
        <w:sz w:val="24"/>
        <w:szCs w:val="24"/>
      </w:rPr>
    </w:pPr>
    <w:r w:rsidRPr="007F011F">
      <w:rPr>
        <w:rFonts w:ascii="Times New Roman" w:hAnsi="Times New Roman"/>
        <w:sz w:val="24"/>
        <w:szCs w:val="24"/>
      </w:rPr>
      <w:fldChar w:fldCharType="begin"/>
    </w:r>
    <w:r w:rsidRPr="007F011F">
      <w:rPr>
        <w:rFonts w:ascii="Times New Roman" w:hAnsi="Times New Roman"/>
        <w:sz w:val="24"/>
        <w:szCs w:val="24"/>
      </w:rPr>
      <w:instrText>PAGE   \* MERGEFORMAT</w:instrText>
    </w:r>
    <w:r w:rsidRPr="007F011F">
      <w:rPr>
        <w:rFonts w:ascii="Times New Roman" w:hAnsi="Times New Roman"/>
        <w:sz w:val="24"/>
        <w:szCs w:val="24"/>
      </w:rPr>
      <w:fldChar w:fldCharType="separate"/>
    </w:r>
    <w:r w:rsidR="00451A85">
      <w:rPr>
        <w:rFonts w:ascii="Times New Roman" w:hAnsi="Times New Roman"/>
        <w:noProof/>
        <w:sz w:val="24"/>
        <w:szCs w:val="24"/>
      </w:rPr>
      <w:t>5</w:t>
    </w:r>
    <w:r w:rsidRPr="007F011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7DF0"/>
    <w:multiLevelType w:val="hybridMultilevel"/>
    <w:tmpl w:val="482A0A44"/>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3AAD2CA7"/>
    <w:multiLevelType w:val="hybridMultilevel"/>
    <w:tmpl w:val="91A62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C62FD3"/>
    <w:multiLevelType w:val="hybridMultilevel"/>
    <w:tmpl w:val="D1483F28"/>
    <w:lvl w:ilvl="0" w:tplc="DCC05586">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 w15:restartNumberingAfterBreak="0">
    <w:nsid w:val="7CCF6915"/>
    <w:multiLevelType w:val="hybridMultilevel"/>
    <w:tmpl w:val="05D0773C"/>
    <w:lvl w:ilvl="0" w:tplc="010696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11"/>
    <w:rsid w:val="0000641F"/>
    <w:rsid w:val="00016C01"/>
    <w:rsid w:val="000207D9"/>
    <w:rsid w:val="00024048"/>
    <w:rsid w:val="00027EC6"/>
    <w:rsid w:val="00037BBB"/>
    <w:rsid w:val="000548DB"/>
    <w:rsid w:val="000579BC"/>
    <w:rsid w:val="000763B6"/>
    <w:rsid w:val="00081F23"/>
    <w:rsid w:val="00095989"/>
    <w:rsid w:val="00096395"/>
    <w:rsid w:val="000A221F"/>
    <w:rsid w:val="000A2399"/>
    <w:rsid w:val="000C2CE5"/>
    <w:rsid w:val="000D01C1"/>
    <w:rsid w:val="000D5D49"/>
    <w:rsid w:val="000F118C"/>
    <w:rsid w:val="000F5841"/>
    <w:rsid w:val="001172BC"/>
    <w:rsid w:val="001227B2"/>
    <w:rsid w:val="00127006"/>
    <w:rsid w:val="001305AD"/>
    <w:rsid w:val="00147955"/>
    <w:rsid w:val="00156B55"/>
    <w:rsid w:val="001675BD"/>
    <w:rsid w:val="00186EDF"/>
    <w:rsid w:val="0019034A"/>
    <w:rsid w:val="00191024"/>
    <w:rsid w:val="00192E3B"/>
    <w:rsid w:val="001A2959"/>
    <w:rsid w:val="001A5807"/>
    <w:rsid w:val="001B0D16"/>
    <w:rsid w:val="001B1BC5"/>
    <w:rsid w:val="001B76AD"/>
    <w:rsid w:val="001C4A85"/>
    <w:rsid w:val="001D0690"/>
    <w:rsid w:val="001D087D"/>
    <w:rsid w:val="001D6620"/>
    <w:rsid w:val="001E5FCE"/>
    <w:rsid w:val="001F2779"/>
    <w:rsid w:val="001F6D87"/>
    <w:rsid w:val="001F7FED"/>
    <w:rsid w:val="00202F73"/>
    <w:rsid w:val="0020635F"/>
    <w:rsid w:val="0021018D"/>
    <w:rsid w:val="00211008"/>
    <w:rsid w:val="00220760"/>
    <w:rsid w:val="00241F00"/>
    <w:rsid w:val="0024323D"/>
    <w:rsid w:val="00252A13"/>
    <w:rsid w:val="002569CA"/>
    <w:rsid w:val="0026420A"/>
    <w:rsid w:val="00277009"/>
    <w:rsid w:val="00284328"/>
    <w:rsid w:val="00287264"/>
    <w:rsid w:val="002A3847"/>
    <w:rsid w:val="002A3946"/>
    <w:rsid w:val="002B4055"/>
    <w:rsid w:val="002B6E37"/>
    <w:rsid w:val="002B6F9C"/>
    <w:rsid w:val="002C4B53"/>
    <w:rsid w:val="002D042B"/>
    <w:rsid w:val="002D141E"/>
    <w:rsid w:val="002E3B32"/>
    <w:rsid w:val="002F2E11"/>
    <w:rsid w:val="0030764F"/>
    <w:rsid w:val="003353C5"/>
    <w:rsid w:val="00352E4E"/>
    <w:rsid w:val="0038107F"/>
    <w:rsid w:val="00383E5B"/>
    <w:rsid w:val="003849C4"/>
    <w:rsid w:val="00395A7B"/>
    <w:rsid w:val="003A20C4"/>
    <w:rsid w:val="003B0072"/>
    <w:rsid w:val="003B3652"/>
    <w:rsid w:val="003B77EA"/>
    <w:rsid w:val="003E7CC2"/>
    <w:rsid w:val="003F59D5"/>
    <w:rsid w:val="004366BE"/>
    <w:rsid w:val="00451A85"/>
    <w:rsid w:val="00457944"/>
    <w:rsid w:val="0047122A"/>
    <w:rsid w:val="00472289"/>
    <w:rsid w:val="00480E85"/>
    <w:rsid w:val="0048605C"/>
    <w:rsid w:val="004913C4"/>
    <w:rsid w:val="004A3442"/>
    <w:rsid w:val="004A53BB"/>
    <w:rsid w:val="004B7651"/>
    <w:rsid w:val="004D30CF"/>
    <w:rsid w:val="00501A3E"/>
    <w:rsid w:val="00514F9C"/>
    <w:rsid w:val="0051764C"/>
    <w:rsid w:val="00533F63"/>
    <w:rsid w:val="005511A4"/>
    <w:rsid w:val="00551277"/>
    <w:rsid w:val="00552C04"/>
    <w:rsid w:val="005615A4"/>
    <w:rsid w:val="005661EC"/>
    <w:rsid w:val="00566770"/>
    <w:rsid w:val="005705CB"/>
    <w:rsid w:val="0057239C"/>
    <w:rsid w:val="005767FA"/>
    <w:rsid w:val="00581E4F"/>
    <w:rsid w:val="0058381F"/>
    <w:rsid w:val="00583FB3"/>
    <w:rsid w:val="00590AA9"/>
    <w:rsid w:val="00590D62"/>
    <w:rsid w:val="005964B4"/>
    <w:rsid w:val="005A57E1"/>
    <w:rsid w:val="005B6388"/>
    <w:rsid w:val="005B6B2B"/>
    <w:rsid w:val="005B7957"/>
    <w:rsid w:val="005C20DE"/>
    <w:rsid w:val="005C3306"/>
    <w:rsid w:val="005C48CA"/>
    <w:rsid w:val="005D5A20"/>
    <w:rsid w:val="005E25D4"/>
    <w:rsid w:val="00607F70"/>
    <w:rsid w:val="0063016D"/>
    <w:rsid w:val="0063744B"/>
    <w:rsid w:val="00640074"/>
    <w:rsid w:val="00642000"/>
    <w:rsid w:val="006423BF"/>
    <w:rsid w:val="0064599B"/>
    <w:rsid w:val="0067151A"/>
    <w:rsid w:val="00672449"/>
    <w:rsid w:val="006824A2"/>
    <w:rsid w:val="006B4200"/>
    <w:rsid w:val="006C2399"/>
    <w:rsid w:val="006C78DE"/>
    <w:rsid w:val="006D741B"/>
    <w:rsid w:val="006E073D"/>
    <w:rsid w:val="006E6187"/>
    <w:rsid w:val="00705CA5"/>
    <w:rsid w:val="0070792A"/>
    <w:rsid w:val="00707F9F"/>
    <w:rsid w:val="00712349"/>
    <w:rsid w:val="00713417"/>
    <w:rsid w:val="0071472D"/>
    <w:rsid w:val="007358EB"/>
    <w:rsid w:val="00737BEA"/>
    <w:rsid w:val="00744F03"/>
    <w:rsid w:val="00751FA2"/>
    <w:rsid w:val="00752907"/>
    <w:rsid w:val="00752CB8"/>
    <w:rsid w:val="007833D6"/>
    <w:rsid w:val="00786689"/>
    <w:rsid w:val="007A1961"/>
    <w:rsid w:val="007A40DF"/>
    <w:rsid w:val="007A64AF"/>
    <w:rsid w:val="007D688B"/>
    <w:rsid w:val="007D7AFB"/>
    <w:rsid w:val="007E5DCA"/>
    <w:rsid w:val="007F3492"/>
    <w:rsid w:val="008009D0"/>
    <w:rsid w:val="0080156B"/>
    <w:rsid w:val="008053A1"/>
    <w:rsid w:val="00811BFF"/>
    <w:rsid w:val="0083436C"/>
    <w:rsid w:val="00834581"/>
    <w:rsid w:val="00854156"/>
    <w:rsid w:val="00855F3C"/>
    <w:rsid w:val="00880014"/>
    <w:rsid w:val="00882FEF"/>
    <w:rsid w:val="0089271B"/>
    <w:rsid w:val="008E1E75"/>
    <w:rsid w:val="008E7E00"/>
    <w:rsid w:val="00921F41"/>
    <w:rsid w:val="00922793"/>
    <w:rsid w:val="009249EE"/>
    <w:rsid w:val="00925C35"/>
    <w:rsid w:val="009339EA"/>
    <w:rsid w:val="0093509A"/>
    <w:rsid w:val="00944B98"/>
    <w:rsid w:val="00947CAF"/>
    <w:rsid w:val="0095037B"/>
    <w:rsid w:val="009543AE"/>
    <w:rsid w:val="00965455"/>
    <w:rsid w:val="00966E71"/>
    <w:rsid w:val="00972460"/>
    <w:rsid w:val="0098627D"/>
    <w:rsid w:val="00986865"/>
    <w:rsid w:val="009A5D13"/>
    <w:rsid w:val="009C538E"/>
    <w:rsid w:val="009C73AE"/>
    <w:rsid w:val="009D4156"/>
    <w:rsid w:val="009E16E6"/>
    <w:rsid w:val="009F03D6"/>
    <w:rsid w:val="009F13EE"/>
    <w:rsid w:val="009F2689"/>
    <w:rsid w:val="00A04B2C"/>
    <w:rsid w:val="00A04F6E"/>
    <w:rsid w:val="00A11E5F"/>
    <w:rsid w:val="00A24CDD"/>
    <w:rsid w:val="00A47461"/>
    <w:rsid w:val="00A51498"/>
    <w:rsid w:val="00A5255F"/>
    <w:rsid w:val="00A66452"/>
    <w:rsid w:val="00A67269"/>
    <w:rsid w:val="00A72258"/>
    <w:rsid w:val="00A819B5"/>
    <w:rsid w:val="00A860C1"/>
    <w:rsid w:val="00AA0240"/>
    <w:rsid w:val="00AD76E4"/>
    <w:rsid w:val="00AE62FD"/>
    <w:rsid w:val="00AF4F3E"/>
    <w:rsid w:val="00B16947"/>
    <w:rsid w:val="00B16B25"/>
    <w:rsid w:val="00B2775D"/>
    <w:rsid w:val="00B3278A"/>
    <w:rsid w:val="00B34162"/>
    <w:rsid w:val="00B352ED"/>
    <w:rsid w:val="00B37BCF"/>
    <w:rsid w:val="00B4264C"/>
    <w:rsid w:val="00B449A9"/>
    <w:rsid w:val="00B56C4E"/>
    <w:rsid w:val="00B56C4F"/>
    <w:rsid w:val="00B575C8"/>
    <w:rsid w:val="00B61DF8"/>
    <w:rsid w:val="00B64ECB"/>
    <w:rsid w:val="00B77289"/>
    <w:rsid w:val="00B77D8F"/>
    <w:rsid w:val="00B810A2"/>
    <w:rsid w:val="00B81931"/>
    <w:rsid w:val="00B90A13"/>
    <w:rsid w:val="00B94AC3"/>
    <w:rsid w:val="00B962A4"/>
    <w:rsid w:val="00BA03A0"/>
    <w:rsid w:val="00BA1AC0"/>
    <w:rsid w:val="00BA7140"/>
    <w:rsid w:val="00BB6ADC"/>
    <w:rsid w:val="00BC6C77"/>
    <w:rsid w:val="00BD21D9"/>
    <w:rsid w:val="00BD7023"/>
    <w:rsid w:val="00BE3608"/>
    <w:rsid w:val="00C10FEE"/>
    <w:rsid w:val="00C15526"/>
    <w:rsid w:val="00C16403"/>
    <w:rsid w:val="00C27A4E"/>
    <w:rsid w:val="00C3092D"/>
    <w:rsid w:val="00C3704A"/>
    <w:rsid w:val="00C40209"/>
    <w:rsid w:val="00C46433"/>
    <w:rsid w:val="00C474E5"/>
    <w:rsid w:val="00C47C4B"/>
    <w:rsid w:val="00C50B21"/>
    <w:rsid w:val="00C53671"/>
    <w:rsid w:val="00C5467F"/>
    <w:rsid w:val="00C60E44"/>
    <w:rsid w:val="00C63672"/>
    <w:rsid w:val="00C72620"/>
    <w:rsid w:val="00C9397A"/>
    <w:rsid w:val="00CB7E3A"/>
    <w:rsid w:val="00CC5D0E"/>
    <w:rsid w:val="00CF32D5"/>
    <w:rsid w:val="00CF7A6B"/>
    <w:rsid w:val="00D02610"/>
    <w:rsid w:val="00D02E85"/>
    <w:rsid w:val="00D166AB"/>
    <w:rsid w:val="00D30BCF"/>
    <w:rsid w:val="00D53CD2"/>
    <w:rsid w:val="00D54621"/>
    <w:rsid w:val="00D62419"/>
    <w:rsid w:val="00D660FA"/>
    <w:rsid w:val="00D6705D"/>
    <w:rsid w:val="00D703E5"/>
    <w:rsid w:val="00D778DF"/>
    <w:rsid w:val="00D90903"/>
    <w:rsid w:val="00DA037E"/>
    <w:rsid w:val="00DB21A5"/>
    <w:rsid w:val="00DB36BD"/>
    <w:rsid w:val="00DC5636"/>
    <w:rsid w:val="00DD130C"/>
    <w:rsid w:val="00DD2279"/>
    <w:rsid w:val="00DD343E"/>
    <w:rsid w:val="00DD3554"/>
    <w:rsid w:val="00DD781E"/>
    <w:rsid w:val="00DF39D6"/>
    <w:rsid w:val="00E07F16"/>
    <w:rsid w:val="00E130D7"/>
    <w:rsid w:val="00E14134"/>
    <w:rsid w:val="00E17CFA"/>
    <w:rsid w:val="00E2124C"/>
    <w:rsid w:val="00E35E57"/>
    <w:rsid w:val="00E37392"/>
    <w:rsid w:val="00E42AD7"/>
    <w:rsid w:val="00E55632"/>
    <w:rsid w:val="00E6145E"/>
    <w:rsid w:val="00E71196"/>
    <w:rsid w:val="00E742AB"/>
    <w:rsid w:val="00E853F6"/>
    <w:rsid w:val="00EA1613"/>
    <w:rsid w:val="00EA5B26"/>
    <w:rsid w:val="00EC16C6"/>
    <w:rsid w:val="00ED187D"/>
    <w:rsid w:val="00EE6265"/>
    <w:rsid w:val="00F06BA5"/>
    <w:rsid w:val="00F108FC"/>
    <w:rsid w:val="00F14E6A"/>
    <w:rsid w:val="00F165F9"/>
    <w:rsid w:val="00F30C65"/>
    <w:rsid w:val="00F31708"/>
    <w:rsid w:val="00F34012"/>
    <w:rsid w:val="00F46B26"/>
    <w:rsid w:val="00F4794F"/>
    <w:rsid w:val="00F53054"/>
    <w:rsid w:val="00F55A94"/>
    <w:rsid w:val="00F72256"/>
    <w:rsid w:val="00F832F6"/>
    <w:rsid w:val="00F84B31"/>
    <w:rsid w:val="00FB4A84"/>
    <w:rsid w:val="00FC3B0F"/>
    <w:rsid w:val="00FC4D87"/>
    <w:rsid w:val="00FD2F77"/>
    <w:rsid w:val="00FD44B3"/>
    <w:rsid w:val="00FE7C89"/>
    <w:rsid w:val="00FF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E634"/>
  <w15:chartTrackingRefBased/>
  <w15:docId w15:val="{7D5CD7FE-2AE2-48C7-95F1-9A74B13A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265"/>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DF39D6"/>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locked/>
    <w:rsid w:val="009C538E"/>
    <w:rPr>
      <w:rFonts w:ascii="Calibri" w:hAnsi="Calibri"/>
    </w:rPr>
  </w:style>
  <w:style w:type="paragraph" w:styleId="a4">
    <w:name w:val="header"/>
    <w:basedOn w:val="a"/>
    <w:link w:val="a3"/>
    <w:uiPriority w:val="99"/>
    <w:rsid w:val="009C538E"/>
    <w:pPr>
      <w:tabs>
        <w:tab w:val="center" w:pos="4677"/>
        <w:tab w:val="right" w:pos="9355"/>
      </w:tabs>
      <w:spacing w:after="200" w:line="276" w:lineRule="auto"/>
    </w:pPr>
    <w:rPr>
      <w:rFonts w:ascii="Calibri" w:eastAsiaTheme="minorHAnsi" w:hAnsi="Calibri" w:cstheme="minorBidi"/>
      <w:sz w:val="22"/>
      <w:szCs w:val="22"/>
      <w:lang w:eastAsia="en-US"/>
    </w:rPr>
  </w:style>
  <w:style w:type="character" w:customStyle="1" w:styleId="11">
    <w:name w:val="Верхний колонтитул Знак1"/>
    <w:basedOn w:val="a0"/>
    <w:uiPriority w:val="99"/>
    <w:semiHidden/>
    <w:rsid w:val="009C538E"/>
    <w:rPr>
      <w:rFonts w:ascii="Times New Roman" w:eastAsia="Calibri" w:hAnsi="Times New Roman" w:cs="Times New Roman"/>
      <w:sz w:val="24"/>
      <w:szCs w:val="24"/>
      <w:lang w:eastAsia="ru-RU"/>
    </w:rPr>
  </w:style>
  <w:style w:type="character" w:customStyle="1" w:styleId="a5">
    <w:name w:val="Нижний колонтитул Знак"/>
    <w:link w:val="a6"/>
    <w:locked/>
    <w:rsid w:val="009C538E"/>
    <w:rPr>
      <w:rFonts w:ascii="Calibri" w:hAnsi="Calibri"/>
    </w:rPr>
  </w:style>
  <w:style w:type="paragraph" w:styleId="a6">
    <w:name w:val="footer"/>
    <w:basedOn w:val="a"/>
    <w:link w:val="a5"/>
    <w:rsid w:val="009C538E"/>
    <w:pPr>
      <w:tabs>
        <w:tab w:val="center" w:pos="4677"/>
        <w:tab w:val="right" w:pos="9355"/>
      </w:tabs>
      <w:spacing w:after="200" w:line="276" w:lineRule="auto"/>
    </w:pPr>
    <w:rPr>
      <w:rFonts w:ascii="Calibri" w:eastAsiaTheme="minorHAnsi" w:hAnsi="Calibri" w:cstheme="minorBidi"/>
      <w:sz w:val="22"/>
      <w:szCs w:val="22"/>
      <w:lang w:eastAsia="en-US"/>
    </w:rPr>
  </w:style>
  <w:style w:type="character" w:customStyle="1" w:styleId="12">
    <w:name w:val="Нижний колонтитул Знак1"/>
    <w:basedOn w:val="a0"/>
    <w:uiPriority w:val="99"/>
    <w:semiHidden/>
    <w:rsid w:val="009C538E"/>
    <w:rPr>
      <w:rFonts w:ascii="Times New Roman" w:eastAsia="Calibri" w:hAnsi="Times New Roman" w:cs="Times New Roman"/>
      <w:sz w:val="24"/>
      <w:szCs w:val="24"/>
      <w:lang w:eastAsia="ru-RU"/>
    </w:rPr>
  </w:style>
  <w:style w:type="character" w:customStyle="1" w:styleId="a7">
    <w:name w:val="Основной текст Знак"/>
    <w:link w:val="a8"/>
    <w:locked/>
    <w:rsid w:val="009C538E"/>
    <w:rPr>
      <w:rFonts w:ascii="Calibri" w:eastAsia="Calibri" w:hAnsi="Calibri"/>
      <w:sz w:val="24"/>
      <w:szCs w:val="24"/>
    </w:rPr>
  </w:style>
  <w:style w:type="paragraph" w:styleId="a8">
    <w:name w:val="Body Text"/>
    <w:basedOn w:val="a"/>
    <w:link w:val="a7"/>
    <w:rsid w:val="009C538E"/>
    <w:pPr>
      <w:spacing w:after="120"/>
    </w:pPr>
    <w:rPr>
      <w:rFonts w:ascii="Calibri" w:hAnsi="Calibri" w:cstheme="minorBidi"/>
      <w:lang w:eastAsia="en-US"/>
    </w:rPr>
  </w:style>
  <w:style w:type="character" w:customStyle="1" w:styleId="13">
    <w:name w:val="Основной текст Знак1"/>
    <w:basedOn w:val="a0"/>
    <w:uiPriority w:val="99"/>
    <w:semiHidden/>
    <w:rsid w:val="009C538E"/>
    <w:rPr>
      <w:rFonts w:ascii="Times New Roman" w:eastAsia="Calibri" w:hAnsi="Times New Roman" w:cs="Times New Roman"/>
      <w:sz w:val="24"/>
      <w:szCs w:val="24"/>
      <w:lang w:eastAsia="ru-RU"/>
    </w:rPr>
  </w:style>
  <w:style w:type="character" w:styleId="a9">
    <w:name w:val="page number"/>
    <w:basedOn w:val="a0"/>
    <w:rsid w:val="009C538E"/>
  </w:style>
  <w:style w:type="character" w:customStyle="1" w:styleId="10">
    <w:name w:val="Заголовок 1 Знак"/>
    <w:basedOn w:val="a0"/>
    <w:link w:val="1"/>
    <w:uiPriority w:val="9"/>
    <w:rsid w:val="00DF39D6"/>
    <w:rPr>
      <w:rFonts w:ascii="Times New Roman" w:eastAsia="Times New Roman" w:hAnsi="Times New Roman" w:cs="Times New Roman"/>
      <w:b/>
      <w:bCs/>
      <w:kern w:val="36"/>
      <w:sz w:val="48"/>
      <w:szCs w:val="48"/>
      <w:lang w:eastAsia="ru-RU"/>
    </w:rPr>
  </w:style>
  <w:style w:type="character" w:customStyle="1" w:styleId="aa">
    <w:name w:val="Текст Знак"/>
    <w:aliases w:val="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Текст Знак Знак Знак1 Знак Знак, Знак3 Знак,  Знак"/>
    <w:link w:val="ab"/>
    <w:locked/>
    <w:rsid w:val="00DF39D6"/>
    <w:rPr>
      <w:rFonts w:ascii="Courier New" w:hAnsi="Courier New" w:cs="Courier New"/>
      <w:lang w:eastAsia="ru-RU"/>
    </w:rPr>
  </w:style>
  <w:style w:type="paragraph" w:styleId="ab">
    <w:name w:val="Plain Text"/>
    <w:aliases w:val="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Знак Знак Знак Знак1, "/>
    <w:basedOn w:val="a"/>
    <w:link w:val="aa"/>
    <w:rsid w:val="00DF39D6"/>
    <w:rPr>
      <w:rFonts w:ascii="Courier New" w:eastAsiaTheme="minorHAnsi" w:hAnsi="Courier New" w:cs="Courier New"/>
      <w:sz w:val="22"/>
      <w:szCs w:val="22"/>
    </w:rPr>
  </w:style>
  <w:style w:type="character" w:customStyle="1" w:styleId="14">
    <w:name w:val="Текст Знак1"/>
    <w:basedOn w:val="a0"/>
    <w:uiPriority w:val="99"/>
    <w:rsid w:val="00DF39D6"/>
    <w:rPr>
      <w:rFonts w:ascii="Consolas" w:eastAsia="Calibri" w:hAnsi="Consolas" w:cs="Times New Roman"/>
      <w:sz w:val="21"/>
      <w:szCs w:val="21"/>
      <w:lang w:eastAsia="ru-RU"/>
    </w:rPr>
  </w:style>
  <w:style w:type="character" w:customStyle="1" w:styleId="text-small">
    <w:name w:val="text-small"/>
    <w:rsid w:val="00DF39D6"/>
  </w:style>
  <w:style w:type="character" w:customStyle="1" w:styleId="margin">
    <w:name w:val="margin"/>
    <w:rsid w:val="00DF39D6"/>
  </w:style>
  <w:style w:type="character" w:styleId="ac">
    <w:name w:val="Strong"/>
    <w:uiPriority w:val="22"/>
    <w:qFormat/>
    <w:rsid w:val="00DF39D6"/>
    <w:rPr>
      <w:b/>
      <w:bCs/>
    </w:rPr>
  </w:style>
  <w:style w:type="paragraph" w:styleId="ad">
    <w:name w:val="Block Text"/>
    <w:basedOn w:val="a"/>
    <w:rsid w:val="001A2959"/>
    <w:pPr>
      <w:ind w:left="4680" w:right="-5"/>
      <w:jc w:val="both"/>
    </w:pPr>
    <w:rPr>
      <w:rFonts w:eastAsia="Times New Roman"/>
      <w:sz w:val="28"/>
    </w:rPr>
  </w:style>
  <w:style w:type="paragraph" w:styleId="ae">
    <w:name w:val="List Paragraph"/>
    <w:basedOn w:val="a"/>
    <w:uiPriority w:val="34"/>
    <w:qFormat/>
    <w:rsid w:val="001A2959"/>
    <w:pPr>
      <w:ind w:left="720"/>
      <w:contextualSpacing/>
    </w:pPr>
  </w:style>
  <w:style w:type="paragraph" w:styleId="af">
    <w:name w:val="Balloon Text"/>
    <w:basedOn w:val="a"/>
    <w:link w:val="af0"/>
    <w:uiPriority w:val="99"/>
    <w:semiHidden/>
    <w:unhideWhenUsed/>
    <w:rsid w:val="002D042B"/>
    <w:rPr>
      <w:rFonts w:ascii="Segoe UI" w:hAnsi="Segoe UI" w:cs="Segoe UI"/>
      <w:sz w:val="18"/>
      <w:szCs w:val="18"/>
    </w:rPr>
  </w:style>
  <w:style w:type="character" w:customStyle="1" w:styleId="af0">
    <w:name w:val="Текст выноски Знак"/>
    <w:basedOn w:val="a0"/>
    <w:link w:val="af"/>
    <w:uiPriority w:val="99"/>
    <w:semiHidden/>
    <w:rsid w:val="002D042B"/>
    <w:rPr>
      <w:rFonts w:ascii="Segoe UI" w:eastAsia="Calibri" w:hAnsi="Segoe UI" w:cs="Segoe UI"/>
      <w:sz w:val="18"/>
      <w:szCs w:val="18"/>
      <w:lang w:eastAsia="ru-RU"/>
    </w:rPr>
  </w:style>
  <w:style w:type="table" w:customStyle="1" w:styleId="15">
    <w:name w:val="Сетка таблицы1"/>
    <w:basedOn w:val="a1"/>
    <w:next w:val="af1"/>
    <w:uiPriority w:val="59"/>
    <w:rsid w:val="001F6D8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uiPriority w:val="39"/>
    <w:rsid w:val="001F6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30B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Web),Обычный (Web)1,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0"/>
    <w:uiPriority w:val="99"/>
    <w:unhideWhenUsed/>
    <w:qFormat/>
    <w:rsid w:val="001172BC"/>
    <w:pPr>
      <w:spacing w:before="100" w:beforeAutospacing="1" w:after="100" w:afterAutospacing="1"/>
    </w:pPr>
    <w:rPr>
      <w:rFonts w:eastAsia="Times New Roman"/>
    </w:rPr>
  </w:style>
  <w:style w:type="character" w:customStyle="1" w:styleId="20">
    <w:name w:val="Обычный (веб) Знак2"/>
    <w:aliases w:val="Обычный (Web) Знак,Обычный (Web)1 Знак,Обычный (веб)1 Знак,Обычный (веб) Знак Знак1,Обычный (веб) Знак1 Знак,Обычный (веб) Знак Знак Знак,Обычный (веб) Знак2 Знак Знак,Обычный (веб) Знак Знак1 Знак Знак"/>
    <w:basedOn w:val="a0"/>
    <w:link w:val="af2"/>
    <w:uiPriority w:val="99"/>
    <w:rsid w:val="001172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6409">
      <w:bodyDiv w:val="1"/>
      <w:marLeft w:val="0"/>
      <w:marRight w:val="0"/>
      <w:marTop w:val="0"/>
      <w:marBottom w:val="0"/>
      <w:divBdr>
        <w:top w:val="none" w:sz="0" w:space="0" w:color="auto"/>
        <w:left w:val="none" w:sz="0" w:space="0" w:color="auto"/>
        <w:bottom w:val="none" w:sz="0" w:space="0" w:color="auto"/>
        <w:right w:val="none" w:sz="0" w:space="0" w:color="auto"/>
      </w:divBdr>
    </w:div>
    <w:div w:id="60712953">
      <w:bodyDiv w:val="1"/>
      <w:marLeft w:val="0"/>
      <w:marRight w:val="0"/>
      <w:marTop w:val="0"/>
      <w:marBottom w:val="0"/>
      <w:divBdr>
        <w:top w:val="none" w:sz="0" w:space="0" w:color="auto"/>
        <w:left w:val="none" w:sz="0" w:space="0" w:color="auto"/>
        <w:bottom w:val="none" w:sz="0" w:space="0" w:color="auto"/>
        <w:right w:val="none" w:sz="0" w:space="0" w:color="auto"/>
      </w:divBdr>
    </w:div>
    <w:div w:id="408234012">
      <w:bodyDiv w:val="1"/>
      <w:marLeft w:val="0"/>
      <w:marRight w:val="0"/>
      <w:marTop w:val="0"/>
      <w:marBottom w:val="0"/>
      <w:divBdr>
        <w:top w:val="none" w:sz="0" w:space="0" w:color="auto"/>
        <w:left w:val="none" w:sz="0" w:space="0" w:color="auto"/>
        <w:bottom w:val="none" w:sz="0" w:space="0" w:color="auto"/>
        <w:right w:val="none" w:sz="0" w:space="0" w:color="auto"/>
      </w:divBdr>
    </w:div>
    <w:div w:id="598176902">
      <w:bodyDiv w:val="1"/>
      <w:marLeft w:val="0"/>
      <w:marRight w:val="0"/>
      <w:marTop w:val="0"/>
      <w:marBottom w:val="0"/>
      <w:divBdr>
        <w:top w:val="none" w:sz="0" w:space="0" w:color="auto"/>
        <w:left w:val="none" w:sz="0" w:space="0" w:color="auto"/>
        <w:bottom w:val="none" w:sz="0" w:space="0" w:color="auto"/>
        <w:right w:val="none" w:sz="0" w:space="0" w:color="auto"/>
      </w:divBdr>
    </w:div>
    <w:div w:id="975337524">
      <w:bodyDiv w:val="1"/>
      <w:marLeft w:val="0"/>
      <w:marRight w:val="0"/>
      <w:marTop w:val="0"/>
      <w:marBottom w:val="0"/>
      <w:divBdr>
        <w:top w:val="none" w:sz="0" w:space="0" w:color="auto"/>
        <w:left w:val="none" w:sz="0" w:space="0" w:color="auto"/>
        <w:bottom w:val="none" w:sz="0" w:space="0" w:color="auto"/>
        <w:right w:val="none" w:sz="0" w:space="0" w:color="auto"/>
      </w:divBdr>
    </w:div>
    <w:div w:id="1091705827">
      <w:bodyDiv w:val="1"/>
      <w:marLeft w:val="0"/>
      <w:marRight w:val="0"/>
      <w:marTop w:val="0"/>
      <w:marBottom w:val="0"/>
      <w:divBdr>
        <w:top w:val="none" w:sz="0" w:space="0" w:color="auto"/>
        <w:left w:val="none" w:sz="0" w:space="0" w:color="auto"/>
        <w:bottom w:val="none" w:sz="0" w:space="0" w:color="auto"/>
        <w:right w:val="none" w:sz="0" w:space="0" w:color="auto"/>
      </w:divBdr>
    </w:div>
    <w:div w:id="1150681947">
      <w:bodyDiv w:val="1"/>
      <w:marLeft w:val="0"/>
      <w:marRight w:val="0"/>
      <w:marTop w:val="0"/>
      <w:marBottom w:val="0"/>
      <w:divBdr>
        <w:top w:val="none" w:sz="0" w:space="0" w:color="auto"/>
        <w:left w:val="none" w:sz="0" w:space="0" w:color="auto"/>
        <w:bottom w:val="none" w:sz="0" w:space="0" w:color="auto"/>
        <w:right w:val="none" w:sz="0" w:space="0" w:color="auto"/>
      </w:divBdr>
    </w:div>
    <w:div w:id="1301567960">
      <w:bodyDiv w:val="1"/>
      <w:marLeft w:val="0"/>
      <w:marRight w:val="0"/>
      <w:marTop w:val="0"/>
      <w:marBottom w:val="0"/>
      <w:divBdr>
        <w:top w:val="none" w:sz="0" w:space="0" w:color="auto"/>
        <w:left w:val="none" w:sz="0" w:space="0" w:color="auto"/>
        <w:bottom w:val="none" w:sz="0" w:space="0" w:color="auto"/>
        <w:right w:val="none" w:sz="0" w:space="0" w:color="auto"/>
      </w:divBdr>
    </w:div>
    <w:div w:id="1404063050">
      <w:bodyDiv w:val="1"/>
      <w:marLeft w:val="0"/>
      <w:marRight w:val="0"/>
      <w:marTop w:val="0"/>
      <w:marBottom w:val="0"/>
      <w:divBdr>
        <w:top w:val="none" w:sz="0" w:space="0" w:color="auto"/>
        <w:left w:val="none" w:sz="0" w:space="0" w:color="auto"/>
        <w:bottom w:val="none" w:sz="0" w:space="0" w:color="auto"/>
        <w:right w:val="none" w:sz="0" w:space="0" w:color="auto"/>
      </w:divBdr>
    </w:div>
    <w:div w:id="1516846131">
      <w:bodyDiv w:val="1"/>
      <w:marLeft w:val="0"/>
      <w:marRight w:val="0"/>
      <w:marTop w:val="0"/>
      <w:marBottom w:val="0"/>
      <w:divBdr>
        <w:top w:val="none" w:sz="0" w:space="0" w:color="auto"/>
        <w:left w:val="none" w:sz="0" w:space="0" w:color="auto"/>
        <w:bottom w:val="none" w:sz="0" w:space="0" w:color="auto"/>
        <w:right w:val="none" w:sz="0" w:space="0" w:color="auto"/>
      </w:divBdr>
    </w:div>
    <w:div w:id="1769691726">
      <w:bodyDiv w:val="1"/>
      <w:marLeft w:val="0"/>
      <w:marRight w:val="0"/>
      <w:marTop w:val="0"/>
      <w:marBottom w:val="0"/>
      <w:divBdr>
        <w:top w:val="none" w:sz="0" w:space="0" w:color="auto"/>
        <w:left w:val="none" w:sz="0" w:space="0" w:color="auto"/>
        <w:bottom w:val="none" w:sz="0" w:space="0" w:color="auto"/>
        <w:right w:val="none" w:sz="0" w:space="0" w:color="auto"/>
      </w:divBdr>
    </w:div>
    <w:div w:id="193917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5</Pages>
  <Words>1407</Words>
  <Characters>8025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Федорчак Мария Ивановна</dc:creator>
  <cp:keywords/>
  <dc:description/>
  <cp:lastModifiedBy>Дротенко Оксана Александровна</cp:lastModifiedBy>
  <cp:revision>51</cp:revision>
  <cp:lastPrinted>2025-07-10T12:32:00Z</cp:lastPrinted>
  <dcterms:created xsi:type="dcterms:W3CDTF">2024-05-27T11:12:00Z</dcterms:created>
  <dcterms:modified xsi:type="dcterms:W3CDTF">2025-07-17T08:27:00Z</dcterms:modified>
</cp:coreProperties>
</file>