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8AF5" w14:textId="77777777" w:rsidR="00A215A0" w:rsidRPr="00276801" w:rsidRDefault="00A215A0" w:rsidP="00276801">
      <w:pPr>
        <w:jc w:val="both"/>
        <w:rPr>
          <w:rFonts w:eastAsia="Calibri"/>
          <w:b/>
        </w:rPr>
      </w:pPr>
      <w:r w:rsidRPr="00276801">
        <w:rPr>
          <w:rFonts w:eastAsia="Calibri"/>
          <w:b/>
        </w:rPr>
        <w:t>Проект</w:t>
      </w:r>
    </w:p>
    <w:p w14:paraId="0EB180A5" w14:textId="77777777" w:rsidR="00A215A0" w:rsidRPr="00276801" w:rsidRDefault="00A215A0" w:rsidP="00276801">
      <w:pPr>
        <w:jc w:val="both"/>
        <w:rPr>
          <w:rFonts w:eastAsia="Calibri"/>
          <w:b/>
        </w:rPr>
      </w:pPr>
    </w:p>
    <w:p w14:paraId="666617DA" w14:textId="34A3FCAD" w:rsidR="00A215A0" w:rsidRPr="00276801" w:rsidRDefault="00276801" w:rsidP="00276801">
      <w:pPr>
        <w:jc w:val="both"/>
        <w:rPr>
          <w:rFonts w:eastAsia="Calibri"/>
          <w:b/>
        </w:rPr>
      </w:pPr>
      <w:r w:rsidRPr="00276801">
        <w:rPr>
          <w:rFonts w:eastAsia="Calibri"/>
          <w:b/>
        </w:rPr>
        <w:t>Закон Приднестровской Молдавской Республики «</w:t>
      </w:r>
      <w:r w:rsidR="00A215A0" w:rsidRPr="00276801">
        <w:rPr>
          <w:b/>
        </w:rPr>
        <w:t>О внесении изменений в Закон Приднестровской Молдавской Республики «О республиканском бюджете на 2025 год»</w:t>
      </w:r>
    </w:p>
    <w:p w14:paraId="75ADEEA4" w14:textId="77777777" w:rsidR="00A215A0" w:rsidRPr="00276801" w:rsidRDefault="00A215A0" w:rsidP="00276801">
      <w:pPr>
        <w:jc w:val="both"/>
        <w:rPr>
          <w:b/>
        </w:rPr>
      </w:pPr>
    </w:p>
    <w:p w14:paraId="2CA911B9" w14:textId="6953976C" w:rsidR="00A215A0" w:rsidRPr="00276801" w:rsidRDefault="00A215A0" w:rsidP="00276801">
      <w:pPr>
        <w:jc w:val="both"/>
      </w:pPr>
      <w:r w:rsidRPr="00276801">
        <w:rPr>
          <w:b/>
        </w:rPr>
        <w:t>Статья 1.</w:t>
      </w:r>
      <w:r w:rsidRPr="00276801">
        <w:t xml:space="preserve"> Внести в Закон Приднестровской Молдавской Республики от 28 декабря 2024 года № 361-З-VII «О республиканском бюджете на 2025 год» (САЗ 24-52) с изменениями и дополнениями, внесенным законами Приднестровской Молдавской Республики от 15 января 2025 года № 2-ЗД-VII (САЗ 25-2); от 27 февраля 2025 года № 16-ЗИД-VII (САЗ 25-8); от 6 марта 2025 года № 21-ЗИД-VII (САЗ 25-9); от 31 марта 2025 года № 43-ЗИД-VII (САЗ 25-13); от 7 мая 2025 года № 71-ЗИД-VII (САЗ 25-18); от 24 июня 2025 года</w:t>
      </w:r>
      <w:r w:rsidR="00276801">
        <w:t xml:space="preserve"> </w:t>
      </w:r>
      <w:r w:rsidRPr="00276801">
        <w:t xml:space="preserve">№ 114-ЗИ-VII (САЗ 25-25); от 14 июля 2025 года № 144-ЗИ-VII (САЗ 25-28); от 28 июля 2025 года № 164-ЗИД-VII (САЗ 25-30); от 31 июля 2025 года № 174-ЗИД-VII (САЗ 25-30), следующие изменения. </w:t>
      </w:r>
    </w:p>
    <w:p w14:paraId="6D19C1B1" w14:textId="77777777" w:rsidR="00A215A0" w:rsidRPr="00276801" w:rsidRDefault="00A215A0" w:rsidP="00276801">
      <w:pPr>
        <w:jc w:val="both"/>
      </w:pPr>
    </w:p>
    <w:p w14:paraId="10289B30" w14:textId="77777777" w:rsidR="00A215A0" w:rsidRPr="00276801" w:rsidRDefault="00A215A0" w:rsidP="00276801">
      <w:pPr>
        <w:jc w:val="both"/>
      </w:pPr>
      <w:r w:rsidRPr="00276801">
        <w:t>В Приложении № 2.2 к Закону</w:t>
      </w:r>
      <w:r w:rsidRPr="00276801">
        <w:rPr>
          <w:rFonts w:eastAsiaTheme="minorHAnsi"/>
        </w:rPr>
        <w:t>:</w:t>
      </w:r>
    </w:p>
    <w:p w14:paraId="00D64BE5" w14:textId="77777777" w:rsidR="00A215A0" w:rsidRPr="00276801" w:rsidRDefault="00A215A0" w:rsidP="00276801">
      <w:pPr>
        <w:jc w:val="both"/>
      </w:pPr>
    </w:p>
    <w:p w14:paraId="382A404C" w14:textId="77777777" w:rsidR="00A215A0" w:rsidRPr="00276801" w:rsidRDefault="00A215A0" w:rsidP="00276801">
      <w:pPr>
        <w:jc w:val="both"/>
      </w:pPr>
      <w:r w:rsidRPr="00276801">
        <w:t>а) строку 1 раздела «Министерство здравоохранения Приднестровской Молдавской Республики» подстатьи экономической классификации расходов бюджета «Капитальные вложения в строительство объектов социально-культурного назначения (240230)» Программы капитальных вложений изложить в следующей редакции:</w:t>
      </w:r>
    </w:p>
    <w:p w14:paraId="47F16E9D" w14:textId="77777777" w:rsidR="00A215A0" w:rsidRPr="00276801" w:rsidRDefault="00A215A0" w:rsidP="00276801">
      <w:pPr>
        <w:jc w:val="both"/>
      </w:pPr>
      <w:r w:rsidRPr="00276801">
        <w:t>«</w:t>
      </w:r>
    </w:p>
    <w:tbl>
      <w:tblPr>
        <w:tblW w:w="9634" w:type="dxa"/>
        <w:tblLook w:val="04A0" w:firstRow="1" w:lastRow="0" w:firstColumn="1" w:lastColumn="0" w:noHBand="0" w:noVBand="1"/>
      </w:tblPr>
      <w:tblGrid>
        <w:gridCol w:w="520"/>
        <w:gridCol w:w="7540"/>
        <w:gridCol w:w="1574"/>
      </w:tblGrid>
      <w:tr w:rsidR="00A215A0" w:rsidRPr="00276801" w14:paraId="0E0A5A8D" w14:textId="77777777" w:rsidTr="00A215A0">
        <w:trPr>
          <w:trHeight w:val="360"/>
        </w:trPr>
        <w:tc>
          <w:tcPr>
            <w:tcW w:w="520" w:type="dxa"/>
            <w:tcBorders>
              <w:top w:val="single" w:sz="4" w:space="0" w:color="auto"/>
              <w:left w:val="single" w:sz="4" w:space="0" w:color="auto"/>
              <w:bottom w:val="single" w:sz="4" w:space="0" w:color="auto"/>
              <w:right w:val="single" w:sz="4" w:space="0" w:color="auto"/>
            </w:tcBorders>
            <w:vAlign w:val="center"/>
            <w:hideMark/>
          </w:tcPr>
          <w:p w14:paraId="142D5B86" w14:textId="77777777" w:rsidR="00A215A0" w:rsidRPr="00276801" w:rsidRDefault="00A215A0" w:rsidP="00276801">
            <w:pPr>
              <w:jc w:val="both"/>
            </w:pPr>
            <w:r w:rsidRPr="00276801">
              <w:t>1.</w:t>
            </w:r>
          </w:p>
        </w:tc>
        <w:tc>
          <w:tcPr>
            <w:tcW w:w="7540" w:type="dxa"/>
            <w:tcBorders>
              <w:top w:val="single" w:sz="4" w:space="0" w:color="auto"/>
              <w:left w:val="nil"/>
              <w:bottom w:val="single" w:sz="4" w:space="0" w:color="auto"/>
              <w:right w:val="single" w:sz="4" w:space="0" w:color="auto"/>
            </w:tcBorders>
            <w:vAlign w:val="center"/>
            <w:hideMark/>
          </w:tcPr>
          <w:p w14:paraId="2B1CD908" w14:textId="77777777" w:rsidR="00A215A0" w:rsidRPr="00276801" w:rsidRDefault="00A215A0" w:rsidP="00276801">
            <w:pPr>
              <w:jc w:val="both"/>
            </w:pPr>
            <w:r w:rsidRPr="00276801">
              <w:t xml:space="preserve">Строительство административно-бытового здания с переходной галереей, пункта охраны, комплекса гаражей машин СМП, ремонтной зоны с автомойкой государственного учреждения «Республиканский центр скорой медицинской помощи», расположенного по адресу: </w:t>
            </w:r>
            <w:r w:rsidRPr="00276801">
              <w:br/>
              <w:t>г. Тирасполь, ул. Суворова, 33, в том числе проектные работы</w:t>
            </w:r>
          </w:p>
        </w:tc>
        <w:tc>
          <w:tcPr>
            <w:tcW w:w="1574" w:type="dxa"/>
            <w:tcBorders>
              <w:top w:val="single" w:sz="4" w:space="0" w:color="auto"/>
              <w:left w:val="nil"/>
              <w:bottom w:val="single" w:sz="4" w:space="0" w:color="auto"/>
              <w:right w:val="single" w:sz="4" w:space="0" w:color="auto"/>
            </w:tcBorders>
            <w:noWrap/>
            <w:vAlign w:val="center"/>
            <w:hideMark/>
          </w:tcPr>
          <w:p w14:paraId="0CBEC7F9" w14:textId="77777777" w:rsidR="00A215A0" w:rsidRPr="00276801" w:rsidRDefault="00A215A0" w:rsidP="00276801">
            <w:pPr>
              <w:jc w:val="both"/>
            </w:pPr>
            <w:r w:rsidRPr="00276801">
              <w:t>909 000</w:t>
            </w:r>
          </w:p>
        </w:tc>
      </w:tr>
    </w:tbl>
    <w:p w14:paraId="3E408473" w14:textId="77777777" w:rsidR="00A215A0" w:rsidRPr="00276801" w:rsidRDefault="00A215A0" w:rsidP="00276801">
      <w:pPr>
        <w:jc w:val="both"/>
      </w:pPr>
      <w:r w:rsidRPr="00276801">
        <w:t>»;</w:t>
      </w:r>
    </w:p>
    <w:p w14:paraId="4C261694" w14:textId="77777777" w:rsidR="00A215A0" w:rsidRPr="00276801" w:rsidRDefault="00A215A0" w:rsidP="00276801">
      <w:pPr>
        <w:jc w:val="both"/>
      </w:pPr>
    </w:p>
    <w:p w14:paraId="6C3D0DB2" w14:textId="77777777" w:rsidR="00A215A0" w:rsidRPr="00276801" w:rsidRDefault="00A215A0" w:rsidP="00276801">
      <w:pPr>
        <w:jc w:val="both"/>
      </w:pPr>
      <w:r w:rsidRPr="00276801">
        <w:t>б) строку 10 раздела «Министерство здравоохранения Приднестровской Молдавской Республики» подстатьи экономической классификации расходов бюджета «Капитальные вложения в строительство объектов социально-культурного назначения (240230)» Программы капитальных вложений изложить в следующей редакции:</w:t>
      </w:r>
    </w:p>
    <w:p w14:paraId="7D434F03" w14:textId="77777777" w:rsidR="00A215A0" w:rsidRPr="00276801" w:rsidRDefault="00A215A0" w:rsidP="00276801">
      <w:pPr>
        <w:jc w:val="both"/>
      </w:pPr>
    </w:p>
    <w:p w14:paraId="1A3B0EEB" w14:textId="77777777" w:rsidR="00A215A0" w:rsidRPr="00276801" w:rsidRDefault="00A215A0" w:rsidP="00276801">
      <w:pPr>
        <w:jc w:val="both"/>
      </w:pPr>
      <w:r w:rsidRPr="00276801">
        <w:t>«</w:t>
      </w:r>
    </w:p>
    <w:tbl>
      <w:tblPr>
        <w:tblW w:w="9634" w:type="dxa"/>
        <w:tblLook w:val="04A0" w:firstRow="1" w:lastRow="0" w:firstColumn="1" w:lastColumn="0" w:noHBand="0" w:noVBand="1"/>
      </w:tblPr>
      <w:tblGrid>
        <w:gridCol w:w="520"/>
        <w:gridCol w:w="7540"/>
        <w:gridCol w:w="1574"/>
      </w:tblGrid>
      <w:tr w:rsidR="00A215A0" w:rsidRPr="00276801" w14:paraId="7236C8FF" w14:textId="77777777" w:rsidTr="00A215A0">
        <w:trPr>
          <w:trHeight w:val="360"/>
        </w:trPr>
        <w:tc>
          <w:tcPr>
            <w:tcW w:w="520" w:type="dxa"/>
            <w:tcBorders>
              <w:top w:val="single" w:sz="4" w:space="0" w:color="auto"/>
              <w:left w:val="single" w:sz="4" w:space="0" w:color="auto"/>
              <w:bottom w:val="single" w:sz="4" w:space="0" w:color="auto"/>
              <w:right w:val="single" w:sz="4" w:space="0" w:color="auto"/>
            </w:tcBorders>
            <w:vAlign w:val="center"/>
            <w:hideMark/>
          </w:tcPr>
          <w:p w14:paraId="66B80557" w14:textId="77777777" w:rsidR="00A215A0" w:rsidRPr="00276801" w:rsidRDefault="00A215A0" w:rsidP="00276801">
            <w:pPr>
              <w:jc w:val="both"/>
            </w:pPr>
            <w:r w:rsidRPr="00276801">
              <w:t>10.</w:t>
            </w:r>
          </w:p>
        </w:tc>
        <w:tc>
          <w:tcPr>
            <w:tcW w:w="7540" w:type="dxa"/>
            <w:tcBorders>
              <w:top w:val="single" w:sz="4" w:space="0" w:color="auto"/>
              <w:left w:val="nil"/>
              <w:bottom w:val="single" w:sz="4" w:space="0" w:color="auto"/>
              <w:right w:val="single" w:sz="4" w:space="0" w:color="auto"/>
            </w:tcBorders>
            <w:vAlign w:val="center"/>
            <w:hideMark/>
          </w:tcPr>
          <w:p w14:paraId="3CB1CEBF" w14:textId="77777777" w:rsidR="00A215A0" w:rsidRPr="00276801" w:rsidRDefault="00A215A0" w:rsidP="00276801">
            <w:pPr>
              <w:jc w:val="both"/>
            </w:pPr>
            <w:r w:rsidRPr="00276801">
              <w:t>Реконструкция операционного блока, отделения хирургии № 1, отделения гнойной хирургии, ГУ «</w:t>
            </w:r>
            <w:proofErr w:type="spellStart"/>
            <w:r w:rsidRPr="00276801">
              <w:t>Рыбницкая</w:t>
            </w:r>
            <w:proofErr w:type="spellEnd"/>
            <w:r w:rsidRPr="00276801">
              <w:t xml:space="preserve"> центральная районная больница», расположенных по адресу: г. Рыбница, ул. Грибоедова, 3, </w:t>
            </w:r>
          </w:p>
          <w:p w14:paraId="0C553DB2" w14:textId="77777777" w:rsidR="00A215A0" w:rsidRPr="00276801" w:rsidRDefault="00A215A0" w:rsidP="00276801">
            <w:pPr>
              <w:jc w:val="both"/>
            </w:pPr>
            <w:r w:rsidRPr="00276801">
              <w:t>в том числе проектные работы (в том числе кредиторская задолженность за 2024 год – 59 766 рублей)</w:t>
            </w:r>
          </w:p>
        </w:tc>
        <w:tc>
          <w:tcPr>
            <w:tcW w:w="1574" w:type="dxa"/>
            <w:tcBorders>
              <w:top w:val="single" w:sz="4" w:space="0" w:color="auto"/>
              <w:left w:val="nil"/>
              <w:bottom w:val="single" w:sz="4" w:space="0" w:color="auto"/>
              <w:right w:val="single" w:sz="4" w:space="0" w:color="auto"/>
            </w:tcBorders>
            <w:noWrap/>
            <w:vAlign w:val="center"/>
            <w:hideMark/>
          </w:tcPr>
          <w:p w14:paraId="3D2C9401" w14:textId="77777777" w:rsidR="00A215A0" w:rsidRPr="00276801" w:rsidRDefault="00A215A0" w:rsidP="00276801">
            <w:pPr>
              <w:jc w:val="both"/>
            </w:pPr>
            <w:r w:rsidRPr="00276801">
              <w:t>4 657 546</w:t>
            </w:r>
          </w:p>
        </w:tc>
      </w:tr>
    </w:tbl>
    <w:p w14:paraId="3AC9C849" w14:textId="77777777" w:rsidR="00A215A0" w:rsidRPr="00276801" w:rsidRDefault="00A215A0" w:rsidP="00276801">
      <w:pPr>
        <w:jc w:val="both"/>
      </w:pPr>
      <w:r w:rsidRPr="00276801">
        <w:t>»;</w:t>
      </w:r>
    </w:p>
    <w:p w14:paraId="6A1576DA" w14:textId="77777777" w:rsidR="00A215A0" w:rsidRPr="00276801" w:rsidRDefault="00A215A0" w:rsidP="00276801">
      <w:pPr>
        <w:jc w:val="both"/>
      </w:pPr>
    </w:p>
    <w:p w14:paraId="547D7D55" w14:textId="77777777" w:rsidR="00A215A0" w:rsidRPr="00276801" w:rsidRDefault="00A215A0" w:rsidP="00276801">
      <w:pPr>
        <w:jc w:val="both"/>
      </w:pPr>
      <w:r w:rsidRPr="00276801">
        <w:t>в) строку «Итого» раздела «Министерство здравоохранения Приднестровской Молдавской Республики» подстатьи экономической классификации расходов бюджета «Капитальные вложения в строительство объектов социально-культурного назначения (240230)» Программы капитальных вложений изложить в следующей редакции:</w:t>
      </w:r>
    </w:p>
    <w:p w14:paraId="6D3E148C" w14:textId="77777777" w:rsidR="00A215A0" w:rsidRPr="00276801" w:rsidRDefault="00A215A0" w:rsidP="00276801">
      <w:pPr>
        <w:jc w:val="both"/>
      </w:pPr>
      <w:r w:rsidRPr="00276801">
        <w:t>«</w:t>
      </w:r>
    </w:p>
    <w:tbl>
      <w:tblPr>
        <w:tblW w:w="9776" w:type="dxa"/>
        <w:tblLook w:val="04A0" w:firstRow="1" w:lastRow="0" w:firstColumn="1" w:lastColumn="0" w:noHBand="0" w:noVBand="1"/>
      </w:tblPr>
      <w:tblGrid>
        <w:gridCol w:w="620"/>
        <w:gridCol w:w="7455"/>
        <w:gridCol w:w="1701"/>
      </w:tblGrid>
      <w:tr w:rsidR="00A215A0" w:rsidRPr="00276801" w14:paraId="077F07FF" w14:textId="77777777" w:rsidTr="00A215A0">
        <w:trPr>
          <w:trHeight w:val="315"/>
        </w:trPr>
        <w:tc>
          <w:tcPr>
            <w:tcW w:w="620" w:type="dxa"/>
            <w:tcBorders>
              <w:top w:val="single" w:sz="4" w:space="0" w:color="auto"/>
              <w:left w:val="single" w:sz="4" w:space="0" w:color="auto"/>
              <w:bottom w:val="single" w:sz="4" w:space="0" w:color="auto"/>
              <w:right w:val="single" w:sz="4" w:space="0" w:color="auto"/>
            </w:tcBorders>
            <w:vAlign w:val="center"/>
            <w:hideMark/>
          </w:tcPr>
          <w:p w14:paraId="01A72391" w14:textId="77777777" w:rsidR="00A215A0" w:rsidRPr="00276801" w:rsidRDefault="00A215A0" w:rsidP="00276801">
            <w:pPr>
              <w:jc w:val="both"/>
            </w:pPr>
          </w:p>
        </w:tc>
        <w:tc>
          <w:tcPr>
            <w:tcW w:w="7455" w:type="dxa"/>
            <w:tcBorders>
              <w:top w:val="single" w:sz="4" w:space="0" w:color="auto"/>
              <w:left w:val="nil"/>
              <w:bottom w:val="single" w:sz="4" w:space="0" w:color="auto"/>
              <w:right w:val="single" w:sz="4" w:space="0" w:color="auto"/>
            </w:tcBorders>
            <w:vAlign w:val="center"/>
            <w:hideMark/>
          </w:tcPr>
          <w:p w14:paraId="040C29F3" w14:textId="77777777" w:rsidR="00A215A0" w:rsidRPr="00276801" w:rsidRDefault="00A215A0" w:rsidP="00276801">
            <w:pPr>
              <w:jc w:val="both"/>
            </w:pPr>
            <w:r w:rsidRPr="00276801">
              <w:t xml:space="preserve">Итого </w:t>
            </w:r>
          </w:p>
        </w:tc>
        <w:tc>
          <w:tcPr>
            <w:tcW w:w="1701" w:type="dxa"/>
            <w:tcBorders>
              <w:top w:val="single" w:sz="4" w:space="0" w:color="auto"/>
              <w:left w:val="nil"/>
              <w:bottom w:val="single" w:sz="4" w:space="0" w:color="auto"/>
              <w:right w:val="single" w:sz="4" w:space="0" w:color="auto"/>
            </w:tcBorders>
            <w:vAlign w:val="center"/>
            <w:hideMark/>
          </w:tcPr>
          <w:p w14:paraId="61B21290" w14:textId="77777777" w:rsidR="00A215A0" w:rsidRPr="00276801" w:rsidRDefault="00A215A0" w:rsidP="00276801">
            <w:pPr>
              <w:jc w:val="both"/>
            </w:pPr>
            <w:r w:rsidRPr="00276801">
              <w:t>39 521 815</w:t>
            </w:r>
          </w:p>
        </w:tc>
      </w:tr>
    </w:tbl>
    <w:p w14:paraId="2F628885" w14:textId="77777777" w:rsidR="00A215A0" w:rsidRPr="00276801" w:rsidRDefault="00A215A0" w:rsidP="00276801">
      <w:pPr>
        <w:jc w:val="both"/>
      </w:pPr>
      <w:r w:rsidRPr="00276801">
        <w:t>»;</w:t>
      </w:r>
    </w:p>
    <w:p w14:paraId="721C29B5" w14:textId="77777777" w:rsidR="00A215A0" w:rsidRPr="00276801" w:rsidRDefault="00A215A0" w:rsidP="00276801">
      <w:pPr>
        <w:jc w:val="both"/>
      </w:pPr>
    </w:p>
    <w:p w14:paraId="3D790B53" w14:textId="77777777" w:rsidR="00A215A0" w:rsidRPr="00276801" w:rsidRDefault="00A215A0" w:rsidP="00276801">
      <w:pPr>
        <w:jc w:val="both"/>
      </w:pPr>
      <w:r w:rsidRPr="00276801">
        <w:lastRenderedPageBreak/>
        <w:t xml:space="preserve">г) строку 1 раздела «Государственная администрация г. Тирасполя» подстатьи экономической классификации расходов бюджета «Капитальные вложения в строительство объектов социально-культурного назначения (240230)» Программы капитальных вложений изложить в следующей редакции: </w:t>
      </w:r>
    </w:p>
    <w:p w14:paraId="67B451AE" w14:textId="77777777" w:rsidR="00A215A0" w:rsidRPr="00276801" w:rsidRDefault="00A215A0" w:rsidP="00276801">
      <w:pPr>
        <w:jc w:val="both"/>
      </w:pPr>
      <w:r w:rsidRPr="00276801">
        <w:t>«</w:t>
      </w:r>
    </w:p>
    <w:tbl>
      <w:tblPr>
        <w:tblW w:w="9776" w:type="dxa"/>
        <w:tblLook w:val="04A0" w:firstRow="1" w:lastRow="0" w:firstColumn="1" w:lastColumn="0" w:noHBand="0" w:noVBand="1"/>
      </w:tblPr>
      <w:tblGrid>
        <w:gridCol w:w="520"/>
        <w:gridCol w:w="7540"/>
        <w:gridCol w:w="1716"/>
      </w:tblGrid>
      <w:tr w:rsidR="00A215A0" w:rsidRPr="00276801" w14:paraId="4383AEDE" w14:textId="77777777" w:rsidTr="00A215A0">
        <w:trPr>
          <w:trHeight w:val="840"/>
        </w:trPr>
        <w:tc>
          <w:tcPr>
            <w:tcW w:w="520" w:type="dxa"/>
            <w:tcBorders>
              <w:top w:val="single" w:sz="4" w:space="0" w:color="auto"/>
              <w:left w:val="single" w:sz="4" w:space="0" w:color="auto"/>
              <w:bottom w:val="single" w:sz="4" w:space="0" w:color="auto"/>
              <w:right w:val="single" w:sz="4" w:space="0" w:color="auto"/>
            </w:tcBorders>
            <w:vAlign w:val="center"/>
            <w:hideMark/>
          </w:tcPr>
          <w:p w14:paraId="0BAE7AF2" w14:textId="77777777" w:rsidR="00A215A0" w:rsidRPr="00276801" w:rsidRDefault="00A215A0" w:rsidP="00276801">
            <w:pPr>
              <w:jc w:val="both"/>
            </w:pPr>
            <w:r w:rsidRPr="00276801">
              <w:t>1.</w:t>
            </w:r>
          </w:p>
        </w:tc>
        <w:tc>
          <w:tcPr>
            <w:tcW w:w="7540" w:type="dxa"/>
            <w:tcBorders>
              <w:top w:val="single" w:sz="4" w:space="0" w:color="auto"/>
              <w:left w:val="nil"/>
              <w:bottom w:val="single" w:sz="4" w:space="0" w:color="auto"/>
              <w:right w:val="single" w:sz="4" w:space="0" w:color="auto"/>
            </w:tcBorders>
            <w:vAlign w:val="center"/>
            <w:hideMark/>
          </w:tcPr>
          <w:p w14:paraId="3FAF5D9F" w14:textId="77777777" w:rsidR="00A215A0" w:rsidRPr="00276801" w:rsidRDefault="00A215A0" w:rsidP="00276801">
            <w:pPr>
              <w:jc w:val="both"/>
            </w:pPr>
            <w:r w:rsidRPr="00276801">
              <w:t>Создание Историко-краеведческого музея Приднестровья (3-й этап), расположенного по адресу: г. Тирасполь, ул. Покровская 40, 42, 44, 46, ул. Федько, 28 «Б», в том числе проектные работы</w:t>
            </w:r>
          </w:p>
        </w:tc>
        <w:tc>
          <w:tcPr>
            <w:tcW w:w="1716" w:type="dxa"/>
            <w:tcBorders>
              <w:top w:val="single" w:sz="4" w:space="0" w:color="auto"/>
              <w:left w:val="nil"/>
              <w:bottom w:val="single" w:sz="4" w:space="0" w:color="auto"/>
              <w:right w:val="single" w:sz="4" w:space="0" w:color="auto"/>
            </w:tcBorders>
            <w:vAlign w:val="center"/>
            <w:hideMark/>
          </w:tcPr>
          <w:p w14:paraId="45A77015" w14:textId="77777777" w:rsidR="00A215A0" w:rsidRPr="00276801" w:rsidRDefault="00A215A0" w:rsidP="00276801">
            <w:pPr>
              <w:jc w:val="both"/>
            </w:pPr>
            <w:r w:rsidRPr="00276801">
              <w:t>23 606 842</w:t>
            </w:r>
          </w:p>
        </w:tc>
      </w:tr>
    </w:tbl>
    <w:p w14:paraId="2DD8614D" w14:textId="77777777" w:rsidR="00A215A0" w:rsidRPr="00276801" w:rsidRDefault="00A215A0" w:rsidP="00276801">
      <w:pPr>
        <w:jc w:val="both"/>
      </w:pPr>
      <w:r w:rsidRPr="00276801">
        <w:t>»;</w:t>
      </w:r>
    </w:p>
    <w:p w14:paraId="61199AF7" w14:textId="77777777" w:rsidR="00A215A0" w:rsidRPr="00276801" w:rsidRDefault="00A215A0" w:rsidP="00276801">
      <w:pPr>
        <w:jc w:val="both"/>
      </w:pPr>
    </w:p>
    <w:p w14:paraId="2E5AE753" w14:textId="77777777" w:rsidR="00A215A0" w:rsidRPr="00276801" w:rsidRDefault="00A215A0" w:rsidP="00276801">
      <w:pPr>
        <w:jc w:val="both"/>
      </w:pPr>
      <w:r w:rsidRPr="00276801">
        <w:t>д) строку «Итого по подстатье 240230» подстатьи экономической классификации расходов бюджета «Капитальные вложения в строительство объектов социально-культурного назначения (240230)» Программы капитальных вложений изложить в следующей редакции:</w:t>
      </w:r>
    </w:p>
    <w:p w14:paraId="70691CB6" w14:textId="77777777" w:rsidR="00A215A0" w:rsidRPr="00276801" w:rsidRDefault="00A215A0" w:rsidP="00276801">
      <w:pPr>
        <w:jc w:val="both"/>
      </w:pPr>
      <w:r w:rsidRPr="00276801">
        <w:t>«</w:t>
      </w:r>
    </w:p>
    <w:tbl>
      <w:tblPr>
        <w:tblW w:w="9776" w:type="dxa"/>
        <w:tblLook w:val="04A0" w:firstRow="1" w:lastRow="0" w:firstColumn="1" w:lastColumn="0" w:noHBand="0" w:noVBand="1"/>
      </w:tblPr>
      <w:tblGrid>
        <w:gridCol w:w="421"/>
        <w:gridCol w:w="7654"/>
        <w:gridCol w:w="1701"/>
      </w:tblGrid>
      <w:tr w:rsidR="00A215A0" w:rsidRPr="00276801" w14:paraId="2247044B" w14:textId="77777777" w:rsidTr="00A215A0">
        <w:trPr>
          <w:trHeight w:val="315"/>
        </w:trPr>
        <w:tc>
          <w:tcPr>
            <w:tcW w:w="421" w:type="dxa"/>
            <w:tcBorders>
              <w:top w:val="single" w:sz="4" w:space="0" w:color="auto"/>
              <w:left w:val="single" w:sz="4" w:space="0" w:color="auto"/>
              <w:bottom w:val="single" w:sz="4" w:space="0" w:color="auto"/>
              <w:right w:val="single" w:sz="4" w:space="0" w:color="auto"/>
            </w:tcBorders>
            <w:vAlign w:val="center"/>
            <w:hideMark/>
          </w:tcPr>
          <w:p w14:paraId="0B7F6FDA" w14:textId="77777777" w:rsidR="00A215A0" w:rsidRPr="00276801" w:rsidRDefault="00A215A0" w:rsidP="00276801">
            <w:pPr>
              <w:jc w:val="both"/>
            </w:pPr>
            <w:r w:rsidRPr="00276801">
              <w:t> </w:t>
            </w:r>
          </w:p>
        </w:tc>
        <w:tc>
          <w:tcPr>
            <w:tcW w:w="7654" w:type="dxa"/>
            <w:tcBorders>
              <w:top w:val="single" w:sz="4" w:space="0" w:color="auto"/>
              <w:left w:val="nil"/>
              <w:bottom w:val="single" w:sz="4" w:space="0" w:color="auto"/>
              <w:right w:val="single" w:sz="4" w:space="0" w:color="auto"/>
            </w:tcBorders>
            <w:vAlign w:val="center"/>
            <w:hideMark/>
          </w:tcPr>
          <w:p w14:paraId="32F2A9E1" w14:textId="77777777" w:rsidR="00A215A0" w:rsidRPr="00276801" w:rsidRDefault="00A215A0" w:rsidP="00276801">
            <w:pPr>
              <w:jc w:val="both"/>
            </w:pPr>
            <w:r w:rsidRPr="00276801">
              <w:t>Итого по подстатье 240230</w:t>
            </w:r>
          </w:p>
        </w:tc>
        <w:tc>
          <w:tcPr>
            <w:tcW w:w="1701" w:type="dxa"/>
            <w:tcBorders>
              <w:top w:val="single" w:sz="4" w:space="0" w:color="auto"/>
              <w:left w:val="nil"/>
              <w:bottom w:val="single" w:sz="4" w:space="0" w:color="auto"/>
              <w:right w:val="single" w:sz="4" w:space="0" w:color="auto"/>
            </w:tcBorders>
            <w:vAlign w:val="center"/>
            <w:hideMark/>
          </w:tcPr>
          <w:p w14:paraId="226BF29C" w14:textId="77777777" w:rsidR="00A215A0" w:rsidRPr="00276801" w:rsidRDefault="00A215A0" w:rsidP="00276801">
            <w:pPr>
              <w:jc w:val="both"/>
            </w:pPr>
            <w:r w:rsidRPr="00276801">
              <w:t>81 182 563</w:t>
            </w:r>
          </w:p>
        </w:tc>
      </w:tr>
    </w:tbl>
    <w:p w14:paraId="197C7EE0" w14:textId="77777777" w:rsidR="00A215A0" w:rsidRPr="00276801" w:rsidRDefault="00A215A0" w:rsidP="00276801">
      <w:pPr>
        <w:jc w:val="both"/>
      </w:pPr>
      <w:r w:rsidRPr="00276801">
        <w:t>»;</w:t>
      </w:r>
    </w:p>
    <w:p w14:paraId="581C11BE" w14:textId="77777777" w:rsidR="00A215A0" w:rsidRPr="00276801" w:rsidRDefault="00A215A0" w:rsidP="00276801">
      <w:pPr>
        <w:jc w:val="both"/>
      </w:pPr>
    </w:p>
    <w:p w14:paraId="47E192F8" w14:textId="77777777" w:rsidR="00A215A0" w:rsidRPr="00276801" w:rsidRDefault="00A215A0" w:rsidP="00276801">
      <w:pPr>
        <w:jc w:val="both"/>
      </w:pPr>
      <w:r w:rsidRPr="00276801">
        <w:t>е) строку «Итого по программе капитальных вложений» Программы капитальных вложений изложить в следующей редакции:</w:t>
      </w:r>
    </w:p>
    <w:p w14:paraId="33D011FB" w14:textId="77777777" w:rsidR="00A215A0" w:rsidRPr="00276801" w:rsidRDefault="00A215A0" w:rsidP="00276801">
      <w:pPr>
        <w:jc w:val="both"/>
      </w:pPr>
      <w:r w:rsidRPr="00276801">
        <w:t>«</w:t>
      </w:r>
    </w:p>
    <w:tbl>
      <w:tblPr>
        <w:tblW w:w="9776" w:type="dxa"/>
        <w:tblLook w:val="04A0" w:firstRow="1" w:lastRow="0" w:firstColumn="1" w:lastColumn="0" w:noHBand="0" w:noVBand="1"/>
      </w:tblPr>
      <w:tblGrid>
        <w:gridCol w:w="421"/>
        <w:gridCol w:w="7654"/>
        <w:gridCol w:w="1701"/>
      </w:tblGrid>
      <w:tr w:rsidR="00A215A0" w:rsidRPr="00276801" w14:paraId="261845E5" w14:textId="77777777" w:rsidTr="00A215A0">
        <w:trPr>
          <w:trHeight w:val="315"/>
        </w:trPr>
        <w:tc>
          <w:tcPr>
            <w:tcW w:w="421" w:type="dxa"/>
            <w:tcBorders>
              <w:top w:val="single" w:sz="4" w:space="0" w:color="auto"/>
              <w:left w:val="single" w:sz="4" w:space="0" w:color="auto"/>
              <w:bottom w:val="single" w:sz="4" w:space="0" w:color="auto"/>
              <w:right w:val="single" w:sz="4" w:space="0" w:color="auto"/>
            </w:tcBorders>
            <w:vAlign w:val="center"/>
            <w:hideMark/>
          </w:tcPr>
          <w:p w14:paraId="504E9483" w14:textId="77777777" w:rsidR="00A215A0" w:rsidRPr="00276801" w:rsidRDefault="00A215A0" w:rsidP="00276801">
            <w:pPr>
              <w:jc w:val="both"/>
            </w:pPr>
            <w:r w:rsidRPr="00276801">
              <w:t> </w:t>
            </w:r>
          </w:p>
        </w:tc>
        <w:tc>
          <w:tcPr>
            <w:tcW w:w="7654" w:type="dxa"/>
            <w:tcBorders>
              <w:top w:val="single" w:sz="4" w:space="0" w:color="auto"/>
              <w:left w:val="nil"/>
              <w:bottom w:val="single" w:sz="4" w:space="0" w:color="auto"/>
              <w:right w:val="single" w:sz="4" w:space="0" w:color="auto"/>
            </w:tcBorders>
            <w:vAlign w:val="center"/>
            <w:hideMark/>
          </w:tcPr>
          <w:p w14:paraId="71A4469F" w14:textId="77777777" w:rsidR="00A215A0" w:rsidRPr="00276801" w:rsidRDefault="00A215A0" w:rsidP="00276801">
            <w:pPr>
              <w:jc w:val="both"/>
            </w:pPr>
            <w:r w:rsidRPr="00276801">
              <w:t>Итого по программе капитальных вложений</w:t>
            </w:r>
          </w:p>
        </w:tc>
        <w:tc>
          <w:tcPr>
            <w:tcW w:w="1701" w:type="dxa"/>
            <w:tcBorders>
              <w:top w:val="single" w:sz="4" w:space="0" w:color="auto"/>
              <w:left w:val="nil"/>
              <w:bottom w:val="single" w:sz="4" w:space="0" w:color="auto"/>
              <w:right w:val="single" w:sz="4" w:space="0" w:color="auto"/>
            </w:tcBorders>
            <w:vAlign w:val="center"/>
            <w:hideMark/>
          </w:tcPr>
          <w:p w14:paraId="46362438" w14:textId="77777777" w:rsidR="00A215A0" w:rsidRPr="00276801" w:rsidRDefault="00A215A0" w:rsidP="00276801">
            <w:pPr>
              <w:jc w:val="both"/>
            </w:pPr>
            <w:r w:rsidRPr="00276801">
              <w:t>88 086 936</w:t>
            </w:r>
          </w:p>
        </w:tc>
      </w:tr>
    </w:tbl>
    <w:p w14:paraId="0C3E3BF6" w14:textId="77777777" w:rsidR="00A215A0" w:rsidRPr="00276801" w:rsidRDefault="00A215A0" w:rsidP="00276801">
      <w:pPr>
        <w:jc w:val="both"/>
      </w:pPr>
      <w:r w:rsidRPr="00276801">
        <w:t>»;</w:t>
      </w:r>
    </w:p>
    <w:p w14:paraId="4A8EF0B5" w14:textId="77777777" w:rsidR="00A215A0" w:rsidRPr="00276801" w:rsidRDefault="00A215A0" w:rsidP="00276801">
      <w:pPr>
        <w:jc w:val="both"/>
      </w:pPr>
    </w:p>
    <w:p w14:paraId="68B52D43" w14:textId="318B1874" w:rsidR="00A215A0" w:rsidRPr="00276801" w:rsidRDefault="00A215A0" w:rsidP="00276801">
      <w:pPr>
        <w:jc w:val="both"/>
        <w:rPr>
          <w:rFonts w:eastAsia="Calibri"/>
        </w:rPr>
      </w:pPr>
      <w:r w:rsidRPr="00276801">
        <w:rPr>
          <w:rFonts w:eastAsia="Calibri"/>
        </w:rPr>
        <w:t xml:space="preserve">ж) раздел «Государственная администрация </w:t>
      </w:r>
      <w:proofErr w:type="spellStart"/>
      <w:r w:rsidRPr="00276801">
        <w:rPr>
          <w:rFonts w:eastAsia="Calibri"/>
        </w:rPr>
        <w:t>Дубоссарского</w:t>
      </w:r>
      <w:proofErr w:type="spellEnd"/>
      <w:r w:rsidRPr="00276801">
        <w:rPr>
          <w:rFonts w:eastAsia="Calibri"/>
        </w:rPr>
        <w:t xml:space="preserve"> района и г. Дубоссары» подстатьи экономической классификации расходов бюджета «Участие Правительства в осуществлении отдельных программ (290 000)» Программы «Мероприятия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на 2023–2025 годы» изложить в следующей редакции:</w:t>
      </w:r>
    </w:p>
    <w:p w14:paraId="0996578F" w14:textId="77777777" w:rsidR="00A215A0" w:rsidRPr="00276801" w:rsidRDefault="00A215A0" w:rsidP="00276801">
      <w:pPr>
        <w:jc w:val="both"/>
        <w:rPr>
          <w:rFonts w:eastAsia="Calibri"/>
        </w:rPr>
      </w:pPr>
      <w:r w:rsidRPr="00276801">
        <w:rPr>
          <w:rFonts w:eastAsia="Calibri"/>
        </w:rPr>
        <w:t>«</w:t>
      </w:r>
    </w:p>
    <w:tbl>
      <w:tblPr>
        <w:tblW w:w="9493" w:type="dxa"/>
        <w:tblLook w:val="04A0" w:firstRow="1" w:lastRow="0" w:firstColumn="1" w:lastColumn="0" w:noHBand="0" w:noVBand="1"/>
      </w:tblPr>
      <w:tblGrid>
        <w:gridCol w:w="620"/>
        <w:gridCol w:w="7455"/>
        <w:gridCol w:w="1418"/>
      </w:tblGrid>
      <w:tr w:rsidR="00A215A0" w:rsidRPr="00276801" w14:paraId="74192580" w14:textId="77777777" w:rsidTr="00A215A0">
        <w:trPr>
          <w:trHeight w:val="315"/>
        </w:trPr>
        <w:tc>
          <w:tcPr>
            <w:tcW w:w="9493" w:type="dxa"/>
            <w:gridSpan w:val="3"/>
            <w:tcBorders>
              <w:top w:val="single" w:sz="4" w:space="0" w:color="auto"/>
              <w:left w:val="single" w:sz="4" w:space="0" w:color="auto"/>
              <w:bottom w:val="single" w:sz="4" w:space="0" w:color="auto"/>
              <w:right w:val="single" w:sz="4" w:space="0" w:color="000000"/>
            </w:tcBorders>
            <w:vAlign w:val="center"/>
            <w:hideMark/>
          </w:tcPr>
          <w:p w14:paraId="67A9B1DC" w14:textId="77777777" w:rsidR="00A215A0" w:rsidRPr="00276801" w:rsidRDefault="00A215A0" w:rsidP="00276801">
            <w:pPr>
              <w:jc w:val="both"/>
            </w:pPr>
            <w:r w:rsidRPr="00276801">
              <w:t xml:space="preserve">Государственная администрация </w:t>
            </w:r>
            <w:proofErr w:type="spellStart"/>
            <w:r w:rsidRPr="00276801">
              <w:t>Дубоссарского</w:t>
            </w:r>
            <w:proofErr w:type="spellEnd"/>
            <w:r w:rsidRPr="00276801">
              <w:t xml:space="preserve"> района и г. Дубоссары</w:t>
            </w:r>
          </w:p>
        </w:tc>
      </w:tr>
      <w:tr w:rsidR="00A215A0" w:rsidRPr="00276801" w14:paraId="5AA2981B" w14:textId="77777777" w:rsidTr="00A215A0">
        <w:trPr>
          <w:trHeight w:val="1260"/>
        </w:trPr>
        <w:tc>
          <w:tcPr>
            <w:tcW w:w="620" w:type="dxa"/>
            <w:tcBorders>
              <w:top w:val="nil"/>
              <w:left w:val="single" w:sz="4" w:space="0" w:color="auto"/>
              <w:bottom w:val="single" w:sz="4" w:space="0" w:color="auto"/>
              <w:right w:val="single" w:sz="4" w:space="0" w:color="auto"/>
            </w:tcBorders>
            <w:vAlign w:val="center"/>
            <w:hideMark/>
          </w:tcPr>
          <w:p w14:paraId="03C0A4E0" w14:textId="77777777" w:rsidR="00A215A0" w:rsidRPr="00276801" w:rsidRDefault="00A215A0" w:rsidP="00276801">
            <w:pPr>
              <w:jc w:val="both"/>
            </w:pPr>
            <w:r w:rsidRPr="00276801">
              <w:t>2.</w:t>
            </w:r>
          </w:p>
        </w:tc>
        <w:tc>
          <w:tcPr>
            <w:tcW w:w="7455" w:type="dxa"/>
            <w:tcBorders>
              <w:top w:val="nil"/>
              <w:left w:val="nil"/>
              <w:bottom w:val="single" w:sz="4" w:space="0" w:color="auto"/>
              <w:right w:val="single" w:sz="4" w:space="0" w:color="auto"/>
            </w:tcBorders>
            <w:vAlign w:val="center"/>
            <w:hideMark/>
          </w:tcPr>
          <w:p w14:paraId="1081E524" w14:textId="77777777" w:rsidR="00A215A0" w:rsidRPr="00276801" w:rsidRDefault="00A215A0" w:rsidP="00276801">
            <w:pPr>
              <w:jc w:val="both"/>
            </w:pPr>
            <w:r w:rsidRPr="00276801">
              <w:t>Капитальный ремонт скульптурной композиции, капитальный ремонт стен, благоустройство территории, установка памятных плит, устройство ограждения Мемориала жертвам фашизма, г. Дубоссары, ул. Зои Космодемьянской, 22а, в том числе проектные работы</w:t>
            </w:r>
          </w:p>
        </w:tc>
        <w:tc>
          <w:tcPr>
            <w:tcW w:w="1418" w:type="dxa"/>
            <w:tcBorders>
              <w:top w:val="nil"/>
              <w:left w:val="nil"/>
              <w:bottom w:val="single" w:sz="4" w:space="0" w:color="auto"/>
              <w:right w:val="single" w:sz="4" w:space="0" w:color="auto"/>
            </w:tcBorders>
            <w:vAlign w:val="center"/>
            <w:hideMark/>
          </w:tcPr>
          <w:p w14:paraId="62405FA8" w14:textId="77777777" w:rsidR="00A215A0" w:rsidRPr="00276801" w:rsidRDefault="00A215A0" w:rsidP="00276801">
            <w:pPr>
              <w:jc w:val="both"/>
            </w:pPr>
            <w:r w:rsidRPr="00276801">
              <w:t>4 800 000</w:t>
            </w:r>
          </w:p>
        </w:tc>
      </w:tr>
      <w:tr w:rsidR="00A215A0" w:rsidRPr="00276801" w14:paraId="033F6EDF" w14:textId="77777777" w:rsidTr="00A215A0">
        <w:trPr>
          <w:trHeight w:val="630"/>
        </w:trPr>
        <w:tc>
          <w:tcPr>
            <w:tcW w:w="620" w:type="dxa"/>
            <w:tcBorders>
              <w:top w:val="nil"/>
              <w:left w:val="single" w:sz="4" w:space="0" w:color="auto"/>
              <w:bottom w:val="single" w:sz="4" w:space="0" w:color="auto"/>
              <w:right w:val="single" w:sz="4" w:space="0" w:color="auto"/>
            </w:tcBorders>
            <w:vAlign w:val="center"/>
            <w:hideMark/>
          </w:tcPr>
          <w:p w14:paraId="2AB2291D" w14:textId="77777777" w:rsidR="00A215A0" w:rsidRPr="00276801" w:rsidRDefault="00A215A0" w:rsidP="00276801">
            <w:pPr>
              <w:jc w:val="both"/>
            </w:pPr>
            <w:r w:rsidRPr="00276801">
              <w:t>3.</w:t>
            </w:r>
          </w:p>
        </w:tc>
        <w:tc>
          <w:tcPr>
            <w:tcW w:w="7455" w:type="dxa"/>
            <w:tcBorders>
              <w:top w:val="nil"/>
              <w:left w:val="nil"/>
              <w:bottom w:val="single" w:sz="4" w:space="0" w:color="auto"/>
              <w:right w:val="single" w:sz="4" w:space="0" w:color="auto"/>
            </w:tcBorders>
            <w:vAlign w:val="center"/>
            <w:hideMark/>
          </w:tcPr>
          <w:p w14:paraId="0FE00731" w14:textId="77777777" w:rsidR="00A215A0" w:rsidRPr="00276801" w:rsidRDefault="00A215A0" w:rsidP="00276801">
            <w:pPr>
              <w:jc w:val="both"/>
            </w:pPr>
            <w:r w:rsidRPr="00276801">
              <w:t xml:space="preserve">Благоустройство территории, ремонт памятников, освещение Кургана Славы, </w:t>
            </w:r>
            <w:proofErr w:type="spellStart"/>
            <w:r w:rsidRPr="00276801">
              <w:t>Дубоссарский</w:t>
            </w:r>
            <w:proofErr w:type="spellEnd"/>
            <w:r w:rsidRPr="00276801">
              <w:t xml:space="preserve"> район, трасса Тирасполь – Дубоссары</w:t>
            </w:r>
          </w:p>
        </w:tc>
        <w:tc>
          <w:tcPr>
            <w:tcW w:w="1418" w:type="dxa"/>
            <w:tcBorders>
              <w:top w:val="nil"/>
              <w:left w:val="nil"/>
              <w:bottom w:val="single" w:sz="4" w:space="0" w:color="auto"/>
              <w:right w:val="single" w:sz="4" w:space="0" w:color="auto"/>
            </w:tcBorders>
            <w:vAlign w:val="center"/>
            <w:hideMark/>
          </w:tcPr>
          <w:p w14:paraId="2080AB7C" w14:textId="77777777" w:rsidR="00A215A0" w:rsidRPr="00276801" w:rsidRDefault="00A215A0" w:rsidP="00276801">
            <w:pPr>
              <w:jc w:val="both"/>
            </w:pPr>
            <w:r w:rsidRPr="00276801">
              <w:t>59 330</w:t>
            </w:r>
          </w:p>
        </w:tc>
      </w:tr>
      <w:tr w:rsidR="00A215A0" w:rsidRPr="00276801" w14:paraId="1A83A78F" w14:textId="77777777" w:rsidTr="00A215A0">
        <w:trPr>
          <w:trHeight w:val="455"/>
        </w:trPr>
        <w:tc>
          <w:tcPr>
            <w:tcW w:w="620" w:type="dxa"/>
            <w:tcBorders>
              <w:top w:val="nil"/>
              <w:left w:val="single" w:sz="4" w:space="0" w:color="auto"/>
              <w:bottom w:val="single" w:sz="4" w:space="0" w:color="auto"/>
              <w:right w:val="single" w:sz="4" w:space="0" w:color="auto"/>
            </w:tcBorders>
            <w:vAlign w:val="center"/>
            <w:hideMark/>
          </w:tcPr>
          <w:p w14:paraId="338D04AE" w14:textId="77777777" w:rsidR="00A215A0" w:rsidRPr="00276801" w:rsidRDefault="00A215A0" w:rsidP="00276801">
            <w:pPr>
              <w:jc w:val="both"/>
            </w:pPr>
          </w:p>
        </w:tc>
        <w:tc>
          <w:tcPr>
            <w:tcW w:w="7455" w:type="dxa"/>
            <w:tcBorders>
              <w:top w:val="nil"/>
              <w:left w:val="nil"/>
              <w:bottom w:val="single" w:sz="4" w:space="0" w:color="auto"/>
              <w:right w:val="single" w:sz="4" w:space="0" w:color="auto"/>
            </w:tcBorders>
            <w:vAlign w:val="center"/>
            <w:hideMark/>
          </w:tcPr>
          <w:p w14:paraId="43F94C5F" w14:textId="77777777" w:rsidR="00A215A0" w:rsidRPr="00276801" w:rsidRDefault="00A215A0" w:rsidP="00276801">
            <w:pPr>
              <w:jc w:val="both"/>
            </w:pPr>
            <w:r w:rsidRPr="00276801">
              <w:t xml:space="preserve">Итого </w:t>
            </w:r>
          </w:p>
        </w:tc>
        <w:tc>
          <w:tcPr>
            <w:tcW w:w="1418" w:type="dxa"/>
            <w:tcBorders>
              <w:top w:val="nil"/>
              <w:left w:val="nil"/>
              <w:bottom w:val="single" w:sz="4" w:space="0" w:color="auto"/>
              <w:right w:val="single" w:sz="4" w:space="0" w:color="auto"/>
            </w:tcBorders>
            <w:vAlign w:val="center"/>
            <w:hideMark/>
          </w:tcPr>
          <w:p w14:paraId="4DF3BC17" w14:textId="77777777" w:rsidR="00A215A0" w:rsidRPr="00276801" w:rsidRDefault="00A215A0" w:rsidP="00276801">
            <w:pPr>
              <w:jc w:val="both"/>
            </w:pPr>
            <w:r w:rsidRPr="00276801">
              <w:t>4 859 330</w:t>
            </w:r>
          </w:p>
        </w:tc>
      </w:tr>
    </w:tbl>
    <w:p w14:paraId="47BFCD53" w14:textId="77777777" w:rsidR="00A215A0" w:rsidRPr="00276801" w:rsidRDefault="00A215A0" w:rsidP="00276801">
      <w:pPr>
        <w:jc w:val="both"/>
        <w:rPr>
          <w:rFonts w:eastAsia="Calibri"/>
        </w:rPr>
      </w:pPr>
      <w:r w:rsidRPr="00276801">
        <w:rPr>
          <w:rFonts w:eastAsia="Calibri"/>
        </w:rPr>
        <w:t>»;</w:t>
      </w:r>
    </w:p>
    <w:p w14:paraId="2434C1B8" w14:textId="77777777" w:rsidR="00A215A0" w:rsidRPr="00276801" w:rsidRDefault="00A215A0" w:rsidP="00276801">
      <w:pPr>
        <w:jc w:val="both"/>
        <w:rPr>
          <w:rFonts w:eastAsia="Calibri"/>
        </w:rPr>
      </w:pPr>
    </w:p>
    <w:p w14:paraId="16F87E26" w14:textId="7BC77C36" w:rsidR="00A215A0" w:rsidRPr="00276801" w:rsidRDefault="00A215A0" w:rsidP="00276801">
      <w:pPr>
        <w:jc w:val="both"/>
        <w:rPr>
          <w:rFonts w:eastAsia="Calibri"/>
        </w:rPr>
      </w:pPr>
      <w:r w:rsidRPr="00276801">
        <w:rPr>
          <w:rFonts w:eastAsia="Calibri"/>
        </w:rPr>
        <w:t>з) строку «Итого по мероприятиям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на 2024–2025 годы» подстатьи экономической классификации расходов бюджета «Участие Правительства в осуществлении отдельных программ (290 000)» Программы «Мероприятия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на 2023–2025 годы» изложить в следующей редакции:</w:t>
      </w:r>
    </w:p>
    <w:p w14:paraId="560C2429" w14:textId="77777777" w:rsidR="00A215A0" w:rsidRPr="00276801" w:rsidRDefault="00A215A0" w:rsidP="00276801">
      <w:pPr>
        <w:jc w:val="both"/>
        <w:rPr>
          <w:rFonts w:eastAsia="Calibri"/>
        </w:rPr>
      </w:pPr>
      <w:r w:rsidRPr="00276801">
        <w:rPr>
          <w:rFonts w:eastAsia="Calibri"/>
        </w:rPr>
        <w:t>«</w:t>
      </w:r>
    </w:p>
    <w:tbl>
      <w:tblPr>
        <w:tblW w:w="9615" w:type="dxa"/>
        <w:tblLook w:val="04A0" w:firstRow="1" w:lastRow="0" w:firstColumn="1" w:lastColumn="0" w:noHBand="0" w:noVBand="1"/>
      </w:tblPr>
      <w:tblGrid>
        <w:gridCol w:w="620"/>
        <w:gridCol w:w="7455"/>
        <w:gridCol w:w="1540"/>
      </w:tblGrid>
      <w:tr w:rsidR="00A215A0" w:rsidRPr="00276801" w14:paraId="1CFDB06D" w14:textId="77777777" w:rsidTr="00A215A0">
        <w:trPr>
          <w:trHeight w:val="1260"/>
        </w:trPr>
        <w:tc>
          <w:tcPr>
            <w:tcW w:w="620" w:type="dxa"/>
            <w:tcBorders>
              <w:top w:val="single" w:sz="4" w:space="0" w:color="auto"/>
              <w:left w:val="single" w:sz="4" w:space="0" w:color="auto"/>
              <w:bottom w:val="single" w:sz="4" w:space="0" w:color="auto"/>
              <w:right w:val="single" w:sz="4" w:space="0" w:color="auto"/>
            </w:tcBorders>
            <w:vAlign w:val="center"/>
            <w:hideMark/>
          </w:tcPr>
          <w:p w14:paraId="2AD4271E" w14:textId="77777777" w:rsidR="00A215A0" w:rsidRPr="00276801" w:rsidRDefault="00A215A0" w:rsidP="00276801">
            <w:pPr>
              <w:jc w:val="both"/>
            </w:pPr>
            <w:r w:rsidRPr="00276801">
              <w:lastRenderedPageBreak/>
              <w:t> </w:t>
            </w:r>
          </w:p>
        </w:tc>
        <w:tc>
          <w:tcPr>
            <w:tcW w:w="7455" w:type="dxa"/>
            <w:tcBorders>
              <w:top w:val="single" w:sz="4" w:space="0" w:color="auto"/>
              <w:left w:val="nil"/>
              <w:bottom w:val="single" w:sz="4" w:space="0" w:color="auto"/>
              <w:right w:val="single" w:sz="4" w:space="0" w:color="auto"/>
            </w:tcBorders>
            <w:vAlign w:val="center"/>
            <w:hideMark/>
          </w:tcPr>
          <w:p w14:paraId="27ED64CB" w14:textId="77777777" w:rsidR="00A215A0" w:rsidRPr="00276801" w:rsidRDefault="00A215A0" w:rsidP="00276801">
            <w:pPr>
              <w:jc w:val="both"/>
            </w:pPr>
            <w:r w:rsidRPr="00276801">
              <w:t>Итого по мероприятиям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на 2024–2025 годы</w:t>
            </w:r>
          </w:p>
        </w:tc>
        <w:tc>
          <w:tcPr>
            <w:tcW w:w="1540" w:type="dxa"/>
            <w:tcBorders>
              <w:top w:val="single" w:sz="4" w:space="0" w:color="auto"/>
              <w:left w:val="nil"/>
              <w:bottom w:val="single" w:sz="4" w:space="0" w:color="auto"/>
              <w:right w:val="single" w:sz="4" w:space="0" w:color="auto"/>
            </w:tcBorders>
            <w:vAlign w:val="center"/>
            <w:hideMark/>
          </w:tcPr>
          <w:p w14:paraId="594090BE" w14:textId="77777777" w:rsidR="00A215A0" w:rsidRPr="00276801" w:rsidRDefault="00A215A0" w:rsidP="00276801">
            <w:pPr>
              <w:jc w:val="both"/>
            </w:pPr>
            <w:r w:rsidRPr="00276801">
              <w:t>5 984 498</w:t>
            </w:r>
          </w:p>
        </w:tc>
      </w:tr>
    </w:tbl>
    <w:p w14:paraId="4B66128C" w14:textId="77777777" w:rsidR="00A215A0" w:rsidRPr="00276801" w:rsidRDefault="00A215A0" w:rsidP="00276801">
      <w:pPr>
        <w:jc w:val="both"/>
        <w:rPr>
          <w:rFonts w:eastAsia="Calibri"/>
        </w:rPr>
      </w:pPr>
      <w:r w:rsidRPr="00276801">
        <w:rPr>
          <w:rFonts w:eastAsia="Calibri"/>
        </w:rPr>
        <w:t>»;</w:t>
      </w:r>
    </w:p>
    <w:p w14:paraId="25E2739B" w14:textId="77777777" w:rsidR="00A215A0" w:rsidRPr="00276801" w:rsidRDefault="00A215A0" w:rsidP="00276801">
      <w:pPr>
        <w:jc w:val="both"/>
        <w:rPr>
          <w:rFonts w:eastAsia="Calibri"/>
        </w:rPr>
      </w:pPr>
    </w:p>
    <w:p w14:paraId="7B79C69D" w14:textId="00281707" w:rsidR="00A215A0" w:rsidRPr="00276801" w:rsidRDefault="00A215A0" w:rsidP="00276801">
      <w:pPr>
        <w:jc w:val="both"/>
        <w:rPr>
          <w:rFonts w:eastAsia="Calibri"/>
        </w:rPr>
      </w:pPr>
      <w:r w:rsidRPr="00276801">
        <w:rPr>
          <w:rFonts w:eastAsia="Calibri"/>
        </w:rPr>
        <w:t>и) строку «Итого по подстатье 290 000» подстатьи экономической классификации расходов бюджета «Участие Правительства в осуществлении отдельных программ (290 000)» Программы «Мероприятия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на 2023–2025 годы» изложить в следующей редакции:</w:t>
      </w:r>
    </w:p>
    <w:p w14:paraId="09C575EA" w14:textId="77777777" w:rsidR="00A215A0" w:rsidRPr="00276801" w:rsidRDefault="00A215A0" w:rsidP="00276801">
      <w:pPr>
        <w:jc w:val="both"/>
        <w:rPr>
          <w:rFonts w:eastAsia="Calibri"/>
        </w:rPr>
      </w:pPr>
      <w:r w:rsidRPr="00276801">
        <w:rPr>
          <w:rFonts w:eastAsia="Calibri"/>
        </w:rPr>
        <w:t>«</w:t>
      </w:r>
    </w:p>
    <w:tbl>
      <w:tblPr>
        <w:tblW w:w="9615" w:type="dxa"/>
        <w:tblLook w:val="04A0" w:firstRow="1" w:lastRow="0" w:firstColumn="1" w:lastColumn="0" w:noHBand="0" w:noVBand="1"/>
      </w:tblPr>
      <w:tblGrid>
        <w:gridCol w:w="620"/>
        <w:gridCol w:w="7455"/>
        <w:gridCol w:w="1540"/>
      </w:tblGrid>
      <w:tr w:rsidR="00A215A0" w:rsidRPr="00276801" w14:paraId="4681E290" w14:textId="77777777" w:rsidTr="00A215A0">
        <w:trPr>
          <w:trHeight w:val="1260"/>
        </w:trPr>
        <w:tc>
          <w:tcPr>
            <w:tcW w:w="620" w:type="dxa"/>
            <w:tcBorders>
              <w:top w:val="single" w:sz="4" w:space="0" w:color="auto"/>
              <w:left w:val="single" w:sz="4" w:space="0" w:color="auto"/>
              <w:bottom w:val="single" w:sz="4" w:space="0" w:color="auto"/>
              <w:right w:val="single" w:sz="4" w:space="0" w:color="auto"/>
            </w:tcBorders>
            <w:vAlign w:val="center"/>
            <w:hideMark/>
          </w:tcPr>
          <w:p w14:paraId="774955AA" w14:textId="77777777" w:rsidR="00A215A0" w:rsidRPr="00276801" w:rsidRDefault="00A215A0" w:rsidP="00276801">
            <w:pPr>
              <w:jc w:val="both"/>
            </w:pPr>
            <w:r w:rsidRPr="00276801">
              <w:t> </w:t>
            </w:r>
          </w:p>
        </w:tc>
        <w:tc>
          <w:tcPr>
            <w:tcW w:w="7455" w:type="dxa"/>
            <w:tcBorders>
              <w:top w:val="single" w:sz="4" w:space="0" w:color="auto"/>
              <w:left w:val="nil"/>
              <w:bottom w:val="single" w:sz="4" w:space="0" w:color="auto"/>
              <w:right w:val="single" w:sz="4" w:space="0" w:color="auto"/>
            </w:tcBorders>
            <w:vAlign w:val="center"/>
            <w:hideMark/>
          </w:tcPr>
          <w:p w14:paraId="53685BC9" w14:textId="77777777" w:rsidR="00A215A0" w:rsidRPr="00276801" w:rsidRDefault="00A215A0" w:rsidP="00276801">
            <w:pPr>
              <w:jc w:val="both"/>
            </w:pPr>
            <w:r w:rsidRPr="00276801">
              <w:t>Итого по подстатье 290 000</w:t>
            </w:r>
          </w:p>
        </w:tc>
        <w:tc>
          <w:tcPr>
            <w:tcW w:w="1540" w:type="dxa"/>
            <w:tcBorders>
              <w:top w:val="single" w:sz="4" w:space="0" w:color="auto"/>
              <w:left w:val="nil"/>
              <w:bottom w:val="single" w:sz="4" w:space="0" w:color="auto"/>
              <w:right w:val="single" w:sz="4" w:space="0" w:color="auto"/>
            </w:tcBorders>
            <w:vAlign w:val="center"/>
            <w:hideMark/>
          </w:tcPr>
          <w:p w14:paraId="6595FFC4" w14:textId="77777777" w:rsidR="00A215A0" w:rsidRPr="00276801" w:rsidRDefault="00A215A0" w:rsidP="00276801">
            <w:pPr>
              <w:jc w:val="both"/>
            </w:pPr>
            <w:r w:rsidRPr="00276801">
              <w:t>5 984 498</w:t>
            </w:r>
          </w:p>
        </w:tc>
      </w:tr>
    </w:tbl>
    <w:p w14:paraId="7FDD786A" w14:textId="77777777" w:rsidR="00A215A0" w:rsidRPr="00276801" w:rsidRDefault="00A215A0" w:rsidP="00276801">
      <w:pPr>
        <w:jc w:val="both"/>
        <w:rPr>
          <w:rFonts w:eastAsia="Calibri"/>
        </w:rPr>
      </w:pPr>
      <w:r w:rsidRPr="00276801">
        <w:rPr>
          <w:rFonts w:eastAsia="Calibri"/>
        </w:rPr>
        <w:t>».</w:t>
      </w:r>
    </w:p>
    <w:p w14:paraId="6E616CFF" w14:textId="77777777" w:rsidR="00A215A0" w:rsidRPr="00276801" w:rsidRDefault="00A215A0" w:rsidP="00276801">
      <w:pPr>
        <w:jc w:val="both"/>
      </w:pPr>
    </w:p>
    <w:p w14:paraId="2A9F6175" w14:textId="77777777" w:rsidR="00A215A0" w:rsidRPr="00276801" w:rsidRDefault="00A215A0" w:rsidP="00276801">
      <w:pPr>
        <w:jc w:val="both"/>
      </w:pPr>
      <w:r w:rsidRPr="00276801">
        <w:rPr>
          <w:b/>
        </w:rPr>
        <w:t>Статья 2.</w:t>
      </w:r>
      <w:r w:rsidRPr="00276801">
        <w:t xml:space="preserve"> Настоящий Закон вступает в силу со дня, следующего за днем официального опубликования.</w:t>
      </w:r>
    </w:p>
    <w:p w14:paraId="3F6A91DB" w14:textId="28876F30" w:rsidR="00A215A0" w:rsidRDefault="00A215A0" w:rsidP="00276801">
      <w:pPr>
        <w:jc w:val="both"/>
      </w:pPr>
    </w:p>
    <w:p w14:paraId="6EC1416D" w14:textId="246011F6" w:rsidR="00276801" w:rsidRDefault="00276801" w:rsidP="00276801">
      <w:pPr>
        <w:jc w:val="both"/>
      </w:pPr>
    </w:p>
    <w:p w14:paraId="149DC916" w14:textId="32882A30" w:rsidR="00276801" w:rsidRDefault="00276801" w:rsidP="00276801">
      <w:pPr>
        <w:jc w:val="both"/>
      </w:pPr>
      <w:r>
        <w:t>Президент</w:t>
      </w:r>
    </w:p>
    <w:p w14:paraId="2CC7300E" w14:textId="364F12F9" w:rsidR="00276801" w:rsidRPr="00276801" w:rsidRDefault="00276801" w:rsidP="00276801">
      <w:pPr>
        <w:jc w:val="both"/>
      </w:pPr>
      <w:r>
        <w:t xml:space="preserve">Приднестровской Молдавской Республики                                                      </w:t>
      </w:r>
      <w:bookmarkStart w:id="0" w:name="_GoBack"/>
      <w:bookmarkEnd w:id="0"/>
      <w:r>
        <w:t xml:space="preserve">В. Н. </w:t>
      </w:r>
      <w:proofErr w:type="spellStart"/>
      <w:r>
        <w:t>Красносельский</w:t>
      </w:r>
      <w:proofErr w:type="spellEnd"/>
    </w:p>
    <w:sectPr w:rsidR="00276801" w:rsidRPr="00276801" w:rsidSect="00276801">
      <w:headerReference w:type="default" r:id="rId7"/>
      <w:headerReference w:type="first" r:id="rId8"/>
      <w:pgSz w:w="11906" w:h="16838"/>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1EA27" w14:textId="77777777" w:rsidR="00E106EB" w:rsidRDefault="00E106EB" w:rsidP="00A62D1D">
      <w:r>
        <w:separator/>
      </w:r>
    </w:p>
  </w:endnote>
  <w:endnote w:type="continuationSeparator" w:id="0">
    <w:p w14:paraId="4D0A1AB6" w14:textId="77777777" w:rsidR="00E106EB" w:rsidRDefault="00E106EB" w:rsidP="00A6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ECEA" w14:textId="77777777" w:rsidR="00E106EB" w:rsidRDefault="00E106EB" w:rsidP="00A62D1D">
      <w:r>
        <w:separator/>
      </w:r>
    </w:p>
  </w:footnote>
  <w:footnote w:type="continuationSeparator" w:id="0">
    <w:p w14:paraId="0AA83365" w14:textId="77777777" w:rsidR="00E106EB" w:rsidRDefault="00E106EB" w:rsidP="00A6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889"/>
      <w:docPartObj>
        <w:docPartGallery w:val="Page Numbers (Top of Page)"/>
        <w:docPartUnique/>
      </w:docPartObj>
    </w:sdtPr>
    <w:sdtEndPr/>
    <w:sdtContent>
      <w:p w14:paraId="6DA97D07" w14:textId="6B54C3A0" w:rsidR="00A62D1D" w:rsidRDefault="00A62D1D">
        <w:pPr>
          <w:pStyle w:val="ab"/>
          <w:jc w:val="center"/>
        </w:pPr>
        <w:r>
          <w:fldChar w:fldCharType="begin"/>
        </w:r>
        <w:r>
          <w:instrText>PAGE   \* MERGEFORMAT</w:instrText>
        </w:r>
        <w:r>
          <w:fldChar w:fldCharType="separate"/>
        </w:r>
        <w:r w:rsidR="00276801">
          <w:rPr>
            <w:noProof/>
          </w:rPr>
          <w:t>- 3 -</w:t>
        </w:r>
        <w:r>
          <w:fldChar w:fldCharType="end"/>
        </w:r>
      </w:p>
    </w:sdtContent>
  </w:sdt>
  <w:p w14:paraId="1B550EE1" w14:textId="77777777" w:rsidR="00A62D1D" w:rsidRDefault="00A62D1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EBCB" w14:textId="110CBBF0" w:rsidR="007A51EC" w:rsidRDefault="007A51EC">
    <w:pPr>
      <w:pStyle w:val="ab"/>
      <w:jc w:val="center"/>
    </w:pPr>
  </w:p>
  <w:p w14:paraId="09B2FDE5" w14:textId="77777777" w:rsidR="007A51EC" w:rsidRDefault="007A51E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9B"/>
    <w:rsid w:val="000035CB"/>
    <w:rsid w:val="0003390D"/>
    <w:rsid w:val="00065425"/>
    <w:rsid w:val="00114FF3"/>
    <w:rsid w:val="00116782"/>
    <w:rsid w:val="00162202"/>
    <w:rsid w:val="001D1361"/>
    <w:rsid w:val="0020303F"/>
    <w:rsid w:val="00206A85"/>
    <w:rsid w:val="002369C9"/>
    <w:rsid w:val="0024680D"/>
    <w:rsid w:val="00275560"/>
    <w:rsid w:val="00276801"/>
    <w:rsid w:val="002C20BA"/>
    <w:rsid w:val="002D2318"/>
    <w:rsid w:val="002E0907"/>
    <w:rsid w:val="002F598B"/>
    <w:rsid w:val="00327A45"/>
    <w:rsid w:val="003448A2"/>
    <w:rsid w:val="003661DD"/>
    <w:rsid w:val="003D5A47"/>
    <w:rsid w:val="004071D6"/>
    <w:rsid w:val="0041113E"/>
    <w:rsid w:val="00446FE0"/>
    <w:rsid w:val="00457BD1"/>
    <w:rsid w:val="00457D95"/>
    <w:rsid w:val="00466E76"/>
    <w:rsid w:val="0048169A"/>
    <w:rsid w:val="004831E7"/>
    <w:rsid w:val="004D631E"/>
    <w:rsid w:val="004F55B3"/>
    <w:rsid w:val="004F7071"/>
    <w:rsid w:val="005228D8"/>
    <w:rsid w:val="0057299B"/>
    <w:rsid w:val="005B034B"/>
    <w:rsid w:val="005D19E7"/>
    <w:rsid w:val="005D503E"/>
    <w:rsid w:val="0063660D"/>
    <w:rsid w:val="00643DE6"/>
    <w:rsid w:val="0067519B"/>
    <w:rsid w:val="00676D1A"/>
    <w:rsid w:val="006C526E"/>
    <w:rsid w:val="006E0FFF"/>
    <w:rsid w:val="006E5154"/>
    <w:rsid w:val="006E6A86"/>
    <w:rsid w:val="00742737"/>
    <w:rsid w:val="007A51EC"/>
    <w:rsid w:val="007B5BFA"/>
    <w:rsid w:val="00810AB4"/>
    <w:rsid w:val="008214E6"/>
    <w:rsid w:val="00827D08"/>
    <w:rsid w:val="00836D32"/>
    <w:rsid w:val="008706C9"/>
    <w:rsid w:val="008E7963"/>
    <w:rsid w:val="009517D1"/>
    <w:rsid w:val="0099389D"/>
    <w:rsid w:val="009A2629"/>
    <w:rsid w:val="009B0A68"/>
    <w:rsid w:val="009D0B6A"/>
    <w:rsid w:val="009F68B9"/>
    <w:rsid w:val="00A00AA9"/>
    <w:rsid w:val="00A1320A"/>
    <w:rsid w:val="00A215A0"/>
    <w:rsid w:val="00A27214"/>
    <w:rsid w:val="00A62D1D"/>
    <w:rsid w:val="00AB4284"/>
    <w:rsid w:val="00AD36A2"/>
    <w:rsid w:val="00AE6645"/>
    <w:rsid w:val="00AF0919"/>
    <w:rsid w:val="00AF5353"/>
    <w:rsid w:val="00B16DD3"/>
    <w:rsid w:val="00B208FB"/>
    <w:rsid w:val="00B51E39"/>
    <w:rsid w:val="00B57697"/>
    <w:rsid w:val="00B71AEC"/>
    <w:rsid w:val="00B91106"/>
    <w:rsid w:val="00BB0305"/>
    <w:rsid w:val="00BC1153"/>
    <w:rsid w:val="00BC4A60"/>
    <w:rsid w:val="00C4075A"/>
    <w:rsid w:val="00C60F48"/>
    <w:rsid w:val="00C82D5A"/>
    <w:rsid w:val="00D0366D"/>
    <w:rsid w:val="00D10477"/>
    <w:rsid w:val="00D13CD3"/>
    <w:rsid w:val="00D333E5"/>
    <w:rsid w:val="00D53A1B"/>
    <w:rsid w:val="00D71A7E"/>
    <w:rsid w:val="00D964C7"/>
    <w:rsid w:val="00D9748F"/>
    <w:rsid w:val="00DD3966"/>
    <w:rsid w:val="00DE51CF"/>
    <w:rsid w:val="00E106EB"/>
    <w:rsid w:val="00E22328"/>
    <w:rsid w:val="00E429B9"/>
    <w:rsid w:val="00E55245"/>
    <w:rsid w:val="00E632E3"/>
    <w:rsid w:val="00E80662"/>
    <w:rsid w:val="00ED3EA8"/>
    <w:rsid w:val="00ED42EA"/>
    <w:rsid w:val="00F33EE4"/>
    <w:rsid w:val="00F713AC"/>
    <w:rsid w:val="00F91F55"/>
    <w:rsid w:val="00FA21A5"/>
    <w:rsid w:val="00FB7EEB"/>
    <w:rsid w:val="00FF0F5A"/>
    <w:rsid w:val="00FF5BCD"/>
    <w:rsid w:val="00FF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7AAF"/>
  <w15:chartTrackingRefBased/>
  <w15:docId w15:val="{868EE10B-24E1-47BB-B84B-1847AB25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215A0"/>
    <w:pPr>
      <w:keepNext/>
      <w:tabs>
        <w:tab w:val="left" w:pos="708"/>
      </w:tabs>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55B3"/>
    <w:rPr>
      <w:color w:val="0000FF"/>
      <w:u w:val="single"/>
    </w:rPr>
  </w:style>
  <w:style w:type="character" w:styleId="a4">
    <w:name w:val="annotation reference"/>
    <w:basedOn w:val="a0"/>
    <w:uiPriority w:val="99"/>
    <w:semiHidden/>
    <w:unhideWhenUsed/>
    <w:rsid w:val="00E55245"/>
    <w:rPr>
      <w:sz w:val="16"/>
      <w:szCs w:val="16"/>
    </w:rPr>
  </w:style>
  <w:style w:type="paragraph" w:styleId="a5">
    <w:name w:val="annotation text"/>
    <w:basedOn w:val="a"/>
    <w:link w:val="a6"/>
    <w:uiPriority w:val="99"/>
    <w:semiHidden/>
    <w:unhideWhenUsed/>
    <w:rsid w:val="00E55245"/>
    <w:rPr>
      <w:sz w:val="20"/>
      <w:szCs w:val="20"/>
    </w:rPr>
  </w:style>
  <w:style w:type="character" w:customStyle="1" w:styleId="a6">
    <w:name w:val="Текст примечания Знак"/>
    <w:basedOn w:val="a0"/>
    <w:link w:val="a5"/>
    <w:uiPriority w:val="99"/>
    <w:semiHidden/>
    <w:rsid w:val="00E55245"/>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55245"/>
    <w:rPr>
      <w:b/>
      <w:bCs/>
    </w:rPr>
  </w:style>
  <w:style w:type="character" w:customStyle="1" w:styleId="a8">
    <w:name w:val="Тема примечания Знак"/>
    <w:basedOn w:val="a6"/>
    <w:link w:val="a7"/>
    <w:uiPriority w:val="99"/>
    <w:semiHidden/>
    <w:rsid w:val="00E55245"/>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55245"/>
    <w:rPr>
      <w:rFonts w:ascii="Segoe UI" w:hAnsi="Segoe UI" w:cs="Segoe UI"/>
      <w:sz w:val="18"/>
      <w:szCs w:val="18"/>
    </w:rPr>
  </w:style>
  <w:style w:type="character" w:customStyle="1" w:styleId="aa">
    <w:name w:val="Текст выноски Знак"/>
    <w:basedOn w:val="a0"/>
    <w:link w:val="a9"/>
    <w:uiPriority w:val="99"/>
    <w:semiHidden/>
    <w:rsid w:val="00E55245"/>
    <w:rPr>
      <w:rFonts w:ascii="Segoe UI" w:eastAsia="Times New Roman" w:hAnsi="Segoe UI" w:cs="Segoe UI"/>
      <w:sz w:val="18"/>
      <w:szCs w:val="18"/>
      <w:lang w:eastAsia="ru-RU"/>
    </w:rPr>
  </w:style>
  <w:style w:type="paragraph" w:styleId="ab">
    <w:name w:val="header"/>
    <w:basedOn w:val="a"/>
    <w:link w:val="ac"/>
    <w:uiPriority w:val="99"/>
    <w:unhideWhenUsed/>
    <w:rsid w:val="00A62D1D"/>
    <w:pPr>
      <w:tabs>
        <w:tab w:val="center" w:pos="4677"/>
        <w:tab w:val="right" w:pos="9355"/>
      </w:tabs>
    </w:pPr>
  </w:style>
  <w:style w:type="character" w:customStyle="1" w:styleId="ac">
    <w:name w:val="Верхний колонтитул Знак"/>
    <w:basedOn w:val="a0"/>
    <w:link w:val="ab"/>
    <w:uiPriority w:val="99"/>
    <w:rsid w:val="00A62D1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62D1D"/>
    <w:pPr>
      <w:tabs>
        <w:tab w:val="center" w:pos="4677"/>
        <w:tab w:val="right" w:pos="9355"/>
      </w:tabs>
    </w:pPr>
  </w:style>
  <w:style w:type="character" w:customStyle="1" w:styleId="ae">
    <w:name w:val="Нижний колонтитул Знак"/>
    <w:basedOn w:val="a0"/>
    <w:link w:val="ad"/>
    <w:uiPriority w:val="99"/>
    <w:rsid w:val="00A62D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215A0"/>
    <w:rPr>
      <w:rFonts w:ascii="Times New Roman" w:eastAsia="Times New Roman" w:hAnsi="Times New Roman" w:cs="Times New Roman"/>
      <w:sz w:val="24"/>
      <w:szCs w:val="20"/>
      <w:lang w:eastAsia="ru-RU"/>
    </w:rPr>
  </w:style>
  <w:style w:type="character" w:customStyle="1" w:styleId="af">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0"/>
    <w:uiPriority w:val="99"/>
    <w:semiHidden/>
    <w:locked/>
    <w:rsid w:val="00A215A0"/>
    <w:rPr>
      <w:sz w:val="24"/>
      <w:szCs w:val="24"/>
    </w:rPr>
  </w:style>
  <w:style w:type="paragraph" w:styleId="af0">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
    <w:uiPriority w:val="99"/>
    <w:semiHidden/>
    <w:unhideWhenUsed/>
    <w:qFormat/>
    <w:rsid w:val="00A215A0"/>
    <w:pPr>
      <w:tabs>
        <w:tab w:val="left" w:pos="708"/>
      </w:tabs>
      <w:ind w:left="720"/>
      <w:contextualSpacing/>
    </w:pPr>
    <w:rPr>
      <w:rFonts w:asciiTheme="minorHAnsi" w:eastAsiaTheme="minorHAnsi" w:hAnsiTheme="minorHAnsi" w:cstheme="minorBidi"/>
      <w:lang w:eastAsia="en-US"/>
    </w:rPr>
  </w:style>
  <w:style w:type="paragraph" w:customStyle="1" w:styleId="11">
    <w:name w:val="Текст1"/>
    <w:aliases w:val="Знак Знак Знак,Знак Знак,Знак,Текст Знак Знак1 Знак,Текст Знак2 Знак Знак Знак,Знак Знак Знак Знак Знак Знак Знак,Зн,Знак3,Текст Знак1,Текст Знак Знак,Знак Знак Знак Знак,Текст Знак2 Знак,Текст Знак1 Знак1 Знак,Текст Знак Знак Знак1 Знак"/>
    <w:basedOn w:val="a"/>
    <w:uiPriority w:val="99"/>
    <w:qFormat/>
    <w:rsid w:val="00A215A0"/>
    <w:pPr>
      <w:tabs>
        <w:tab w:val="left" w:pos="708"/>
      </w:tabs>
      <w:contextualSpacing/>
    </w:pPr>
    <w:rPr>
      <w:rFonts w:ascii="Courier New" w:eastAsia="Calibri" w:hAnsi="Courier New" w:cs="Courier New"/>
      <w:sz w:val="20"/>
      <w:szCs w:val="20"/>
    </w:rPr>
  </w:style>
  <w:style w:type="paragraph" w:customStyle="1" w:styleId="Style16">
    <w:name w:val="Style16"/>
    <w:basedOn w:val="a"/>
    <w:uiPriority w:val="99"/>
    <w:qFormat/>
    <w:rsid w:val="00A215A0"/>
    <w:pPr>
      <w:widowControl w:val="0"/>
      <w:tabs>
        <w:tab w:val="left" w:pos="708"/>
      </w:tabs>
      <w:autoSpaceDE w:val="0"/>
      <w:autoSpaceDN w:val="0"/>
      <w:adjustRightInd w:val="0"/>
      <w:spacing w:line="328" w:lineRule="exact"/>
      <w:contextualSpacing/>
      <w:jc w:val="center"/>
    </w:pPr>
  </w:style>
  <w:style w:type="character" w:customStyle="1" w:styleId="2">
    <w:name w:val="Основной текст (2)_"/>
    <w:link w:val="20"/>
    <w:locked/>
    <w:rsid w:val="00A215A0"/>
    <w:rPr>
      <w:sz w:val="28"/>
      <w:szCs w:val="28"/>
      <w:shd w:val="clear" w:color="auto" w:fill="FFFFFF"/>
    </w:rPr>
  </w:style>
  <w:style w:type="paragraph" w:customStyle="1" w:styleId="20">
    <w:name w:val="Основной текст (2)"/>
    <w:basedOn w:val="a"/>
    <w:link w:val="2"/>
    <w:qFormat/>
    <w:rsid w:val="00A215A0"/>
    <w:pPr>
      <w:widowControl w:val="0"/>
      <w:shd w:val="clear" w:color="auto" w:fill="FFFFFF"/>
      <w:tabs>
        <w:tab w:val="left" w:pos="708"/>
      </w:tabs>
      <w:spacing w:before="300" w:after="120" w:line="0" w:lineRule="atLeast"/>
      <w:contextualSpacing/>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06657">
      <w:bodyDiv w:val="1"/>
      <w:marLeft w:val="0"/>
      <w:marRight w:val="0"/>
      <w:marTop w:val="0"/>
      <w:marBottom w:val="0"/>
      <w:divBdr>
        <w:top w:val="none" w:sz="0" w:space="0" w:color="auto"/>
        <w:left w:val="none" w:sz="0" w:space="0" w:color="auto"/>
        <w:bottom w:val="none" w:sz="0" w:space="0" w:color="auto"/>
        <w:right w:val="none" w:sz="0" w:space="0" w:color="auto"/>
      </w:divBdr>
    </w:div>
    <w:div w:id="362100023">
      <w:bodyDiv w:val="1"/>
      <w:marLeft w:val="0"/>
      <w:marRight w:val="0"/>
      <w:marTop w:val="0"/>
      <w:marBottom w:val="0"/>
      <w:divBdr>
        <w:top w:val="none" w:sz="0" w:space="0" w:color="auto"/>
        <w:left w:val="none" w:sz="0" w:space="0" w:color="auto"/>
        <w:bottom w:val="none" w:sz="0" w:space="0" w:color="auto"/>
        <w:right w:val="none" w:sz="0" w:space="0" w:color="auto"/>
      </w:divBdr>
    </w:div>
    <w:div w:id="1583904188">
      <w:bodyDiv w:val="1"/>
      <w:marLeft w:val="0"/>
      <w:marRight w:val="0"/>
      <w:marTop w:val="0"/>
      <w:marBottom w:val="0"/>
      <w:divBdr>
        <w:top w:val="none" w:sz="0" w:space="0" w:color="auto"/>
        <w:left w:val="none" w:sz="0" w:space="0" w:color="auto"/>
        <w:bottom w:val="none" w:sz="0" w:space="0" w:color="auto"/>
        <w:right w:val="none" w:sz="0" w:space="0" w:color="auto"/>
      </w:divBdr>
    </w:div>
    <w:div w:id="1629629741">
      <w:bodyDiv w:val="1"/>
      <w:marLeft w:val="0"/>
      <w:marRight w:val="0"/>
      <w:marTop w:val="0"/>
      <w:marBottom w:val="0"/>
      <w:divBdr>
        <w:top w:val="none" w:sz="0" w:space="0" w:color="auto"/>
        <w:left w:val="none" w:sz="0" w:space="0" w:color="auto"/>
        <w:bottom w:val="none" w:sz="0" w:space="0" w:color="auto"/>
        <w:right w:val="none" w:sz="0" w:space="0" w:color="auto"/>
      </w:divBdr>
    </w:div>
    <w:div w:id="19145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89B9-1E2F-411F-9EE6-30FAE7D2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Погребная Анастасия Владиславовна</cp:lastModifiedBy>
  <cp:revision>9</cp:revision>
  <cp:lastPrinted>2023-09-14T13:48:00Z</cp:lastPrinted>
  <dcterms:created xsi:type="dcterms:W3CDTF">2023-09-14T13:54:00Z</dcterms:created>
  <dcterms:modified xsi:type="dcterms:W3CDTF">2025-08-07T06:22:00Z</dcterms:modified>
</cp:coreProperties>
</file>