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BAE" w:rsidRPr="00FA2372" w:rsidRDefault="005F1BAE" w:rsidP="005F1BAE">
      <w:pPr>
        <w:jc w:val="center"/>
        <w:rPr>
          <w:rFonts w:eastAsia="Calibri"/>
          <w:lang w:eastAsia="en-US"/>
        </w:rPr>
      </w:pPr>
      <w:r w:rsidRPr="00FA2372">
        <w:rPr>
          <w:rFonts w:eastAsia="Calibri"/>
          <w:lang w:eastAsia="en-US"/>
        </w:rPr>
        <w:t>Сравнительная таблица</w:t>
      </w:r>
    </w:p>
    <w:p w:rsidR="005F1BAE" w:rsidRPr="00360F0A" w:rsidRDefault="005F1BAE" w:rsidP="005F1BAE">
      <w:pPr>
        <w:jc w:val="center"/>
      </w:pPr>
      <w:r w:rsidRPr="00FA2372">
        <w:t xml:space="preserve">к </w:t>
      </w:r>
      <w:r w:rsidRPr="00360F0A">
        <w:t xml:space="preserve">проекту закона Приднестровской Молдавской Республики </w:t>
      </w:r>
    </w:p>
    <w:p w:rsidR="005F1BAE" w:rsidRPr="00FA2372" w:rsidRDefault="005F1BAE" w:rsidP="005F1BAE">
      <w:pPr>
        <w:jc w:val="center"/>
      </w:pPr>
      <w:r w:rsidRPr="00360F0A">
        <w:rPr>
          <w:rFonts w:eastAsia="Calibri"/>
          <w:lang w:eastAsia="en-US"/>
        </w:rPr>
        <w:t>«</w:t>
      </w:r>
      <w:r w:rsidRPr="00360F0A">
        <w:t>О внесении изменения и дополнения в Закон Приднестровской Молдавской Республики «О государственных мерах, направленных на минимизацию негативного воздействия на экономику, связанного с сокращением</w:t>
      </w:r>
      <w:r w:rsidRPr="00FA2372">
        <w:t xml:space="preserve"> (прекращением) поставок природного газа в Приднестровскую Молдавскую Республику в 2025 году»</w:t>
      </w:r>
    </w:p>
    <w:p w:rsidR="005F1BAE" w:rsidRPr="00FA2372" w:rsidRDefault="005F1BAE" w:rsidP="005F1BAE">
      <w:pPr>
        <w:jc w:val="center"/>
      </w:pPr>
    </w:p>
    <w:p w:rsidR="005F1BAE" w:rsidRPr="00FA2372" w:rsidRDefault="005F1BAE" w:rsidP="005F1BAE">
      <w:pPr>
        <w:jc w:val="center"/>
        <w:rPr>
          <w:rFonts w:eastAsia="Calibri"/>
          <w:lang w:eastAsia="en-US"/>
        </w:rPr>
      </w:pPr>
    </w:p>
    <w:tbl>
      <w:tblPr>
        <w:tblStyle w:val="1"/>
        <w:tblW w:w="10871" w:type="dxa"/>
        <w:tblInd w:w="-998" w:type="dxa"/>
        <w:tblLook w:val="04A0" w:firstRow="1" w:lastRow="0" w:firstColumn="1" w:lastColumn="0" w:noHBand="0" w:noVBand="1"/>
      </w:tblPr>
      <w:tblGrid>
        <w:gridCol w:w="1105"/>
        <w:gridCol w:w="5231"/>
        <w:gridCol w:w="4535"/>
      </w:tblGrid>
      <w:tr w:rsidR="005F1BAE" w:rsidRPr="00FA2372" w:rsidTr="00BC48D6">
        <w:tc>
          <w:tcPr>
            <w:tcW w:w="1105" w:type="dxa"/>
          </w:tcPr>
          <w:p w:rsidR="005F1BAE" w:rsidRPr="00FA2372" w:rsidRDefault="005F1BAE" w:rsidP="00BC48D6">
            <w:pPr>
              <w:jc w:val="center"/>
              <w:rPr>
                <w:b/>
              </w:rPr>
            </w:pPr>
          </w:p>
        </w:tc>
        <w:tc>
          <w:tcPr>
            <w:tcW w:w="5231" w:type="dxa"/>
          </w:tcPr>
          <w:p w:rsidR="005F1BAE" w:rsidRPr="00FA2372" w:rsidRDefault="005F1BAE" w:rsidP="00BC48D6">
            <w:pPr>
              <w:jc w:val="center"/>
              <w:rPr>
                <w:b/>
              </w:rPr>
            </w:pPr>
            <w:r w:rsidRPr="00FA2372">
              <w:rPr>
                <w:b/>
              </w:rPr>
              <w:t>Действующая редакция</w:t>
            </w:r>
          </w:p>
          <w:p w:rsidR="005F1BAE" w:rsidRPr="00FA2372" w:rsidRDefault="005F1BAE" w:rsidP="00BC48D6">
            <w:pPr>
              <w:jc w:val="center"/>
              <w:rPr>
                <w:b/>
              </w:rPr>
            </w:pPr>
          </w:p>
        </w:tc>
        <w:tc>
          <w:tcPr>
            <w:tcW w:w="4535" w:type="dxa"/>
          </w:tcPr>
          <w:p w:rsidR="005F1BAE" w:rsidRPr="00FA2372" w:rsidRDefault="005F1BAE" w:rsidP="00BC48D6">
            <w:pPr>
              <w:jc w:val="center"/>
              <w:rPr>
                <w:b/>
              </w:rPr>
            </w:pPr>
            <w:r w:rsidRPr="00FA2372">
              <w:rPr>
                <w:b/>
              </w:rPr>
              <w:t>Предлагаемая редакция</w:t>
            </w:r>
          </w:p>
        </w:tc>
      </w:tr>
      <w:tr w:rsidR="005F1BAE" w:rsidRPr="00FA2372" w:rsidTr="00BC48D6">
        <w:tc>
          <w:tcPr>
            <w:tcW w:w="1105" w:type="dxa"/>
          </w:tcPr>
          <w:p w:rsidR="005F1BAE" w:rsidRPr="00FA2372" w:rsidRDefault="005F1BAE" w:rsidP="00BC48D6">
            <w:pPr>
              <w:ind w:firstLine="709"/>
              <w:jc w:val="both"/>
            </w:pPr>
            <w:r w:rsidRPr="00FA2372">
              <w:t>1.</w:t>
            </w:r>
          </w:p>
        </w:tc>
        <w:tc>
          <w:tcPr>
            <w:tcW w:w="5231" w:type="dxa"/>
          </w:tcPr>
          <w:p w:rsidR="005F1BAE" w:rsidRPr="00FA2372" w:rsidRDefault="005F1BAE" w:rsidP="00BC48D6">
            <w:pPr>
              <w:ind w:firstLine="709"/>
              <w:jc w:val="both"/>
              <w:rPr>
                <w:b/>
              </w:rPr>
            </w:pPr>
            <w:r w:rsidRPr="00FA2372">
              <w:rPr>
                <w:b/>
              </w:rPr>
              <w:t>Статья 11.</w:t>
            </w:r>
          </w:p>
          <w:p w:rsidR="005F1BAE" w:rsidRPr="00FA2372" w:rsidRDefault="005F1BAE" w:rsidP="00BC48D6">
            <w:pPr>
              <w:ind w:firstLine="709"/>
              <w:contextualSpacing/>
              <w:jc w:val="both"/>
            </w:pPr>
            <w:r w:rsidRPr="00FA2372">
              <w:t>На период с 1 января 2025 года по 31 декабря 2025 года Правительство Приднестровской Молдавской Республики вправе своим нормативным правовым актом установить:</w:t>
            </w:r>
          </w:p>
          <w:p w:rsidR="005F1BAE" w:rsidRPr="00FA2372" w:rsidRDefault="005F1BAE" w:rsidP="00BC48D6">
            <w:pPr>
              <w:ind w:firstLine="709"/>
              <w:jc w:val="both"/>
            </w:pPr>
            <w:r w:rsidRPr="00FA2372">
              <w:t>…</w:t>
            </w:r>
          </w:p>
          <w:p w:rsidR="005F1BAE" w:rsidRPr="00FA2372" w:rsidRDefault="005F1BAE" w:rsidP="00BC48D6">
            <w:pPr>
              <w:ind w:firstLine="709"/>
              <w:contextualSpacing/>
              <w:jc w:val="both"/>
            </w:pPr>
            <w:r w:rsidRPr="00FA2372">
              <w:t>б) порядок исполнения принятых бюджетных обязательств главными распорядителями бюджетных средств;</w:t>
            </w:r>
          </w:p>
          <w:p w:rsidR="005F1BAE" w:rsidRPr="00FA2372" w:rsidRDefault="005F1BAE" w:rsidP="00BC48D6">
            <w:pPr>
              <w:ind w:firstLine="709"/>
              <w:jc w:val="both"/>
            </w:pPr>
          </w:p>
          <w:p w:rsidR="005F1BAE" w:rsidRPr="00FA2372" w:rsidRDefault="005F1BAE" w:rsidP="00BC48D6">
            <w:pPr>
              <w:ind w:firstLine="709"/>
              <w:jc w:val="both"/>
            </w:pPr>
            <w:r w:rsidRPr="00FA2372">
              <w:t>…</w:t>
            </w:r>
          </w:p>
        </w:tc>
        <w:tc>
          <w:tcPr>
            <w:tcW w:w="4535" w:type="dxa"/>
          </w:tcPr>
          <w:p w:rsidR="005F1BAE" w:rsidRPr="00FA2372" w:rsidRDefault="005F1BAE" w:rsidP="00BC48D6">
            <w:pPr>
              <w:ind w:firstLine="709"/>
              <w:jc w:val="both"/>
              <w:rPr>
                <w:b/>
              </w:rPr>
            </w:pPr>
            <w:r w:rsidRPr="00360F0A">
              <w:rPr>
                <w:b/>
              </w:rPr>
              <w:t>Статья 11.</w:t>
            </w:r>
          </w:p>
          <w:p w:rsidR="005F1BAE" w:rsidRPr="00FA2372" w:rsidRDefault="005F1BAE" w:rsidP="00BC48D6">
            <w:pPr>
              <w:ind w:firstLine="709"/>
              <w:contextualSpacing/>
              <w:jc w:val="both"/>
            </w:pPr>
            <w:r w:rsidRPr="00FA2372">
              <w:t>На период с 1 января 2025 года по 31 декабря 2025 года Правительство Приднестровской Молдавской Республики вправе своим нормативным правовым актом установить:</w:t>
            </w:r>
          </w:p>
          <w:p w:rsidR="005F1BAE" w:rsidRPr="00FA2372" w:rsidRDefault="005F1BAE" w:rsidP="00BC48D6">
            <w:pPr>
              <w:ind w:firstLine="709"/>
              <w:jc w:val="both"/>
            </w:pPr>
            <w:r w:rsidRPr="00FA2372">
              <w:t>…</w:t>
            </w:r>
          </w:p>
          <w:p w:rsidR="005F1BAE" w:rsidRPr="00FA2372" w:rsidRDefault="005F1BAE" w:rsidP="00BC48D6">
            <w:pPr>
              <w:ind w:firstLine="709"/>
              <w:contextualSpacing/>
              <w:jc w:val="both"/>
            </w:pPr>
            <w:r w:rsidRPr="00FA2372">
              <w:t xml:space="preserve">б) порядок исполнения </w:t>
            </w:r>
            <w:r w:rsidRPr="00FA2372">
              <w:rPr>
                <w:b/>
                <w:bCs/>
              </w:rPr>
              <w:t>и</w:t>
            </w:r>
            <w:r w:rsidRPr="00FA2372">
              <w:rPr>
                <w:b/>
              </w:rPr>
              <w:t xml:space="preserve">ли изменения </w:t>
            </w:r>
            <w:r w:rsidRPr="00FA2372">
              <w:t>принятых бюджетных обязательств главными распорядителями бюджетных средств;</w:t>
            </w:r>
          </w:p>
          <w:p w:rsidR="005F1BAE" w:rsidRPr="00FA2372" w:rsidRDefault="005F1BAE" w:rsidP="00BC48D6">
            <w:pPr>
              <w:ind w:firstLine="709"/>
              <w:jc w:val="both"/>
            </w:pPr>
            <w:r w:rsidRPr="00FA2372">
              <w:t>…</w:t>
            </w:r>
          </w:p>
          <w:p w:rsidR="005F1BAE" w:rsidRPr="00FA2372" w:rsidRDefault="005F1BAE" w:rsidP="00BC48D6">
            <w:pPr>
              <w:ind w:firstLine="745"/>
              <w:jc w:val="both"/>
              <w:rPr>
                <w:b/>
              </w:rPr>
            </w:pPr>
          </w:p>
        </w:tc>
      </w:tr>
      <w:tr w:rsidR="005F1BAE" w:rsidRPr="00FA2372" w:rsidTr="00BC48D6">
        <w:tc>
          <w:tcPr>
            <w:tcW w:w="1105" w:type="dxa"/>
          </w:tcPr>
          <w:p w:rsidR="005F1BAE" w:rsidRPr="00FA2372" w:rsidRDefault="005F1BAE" w:rsidP="00BC48D6">
            <w:pPr>
              <w:ind w:firstLine="709"/>
              <w:jc w:val="both"/>
            </w:pPr>
            <w:r w:rsidRPr="00FA2372">
              <w:t>2.</w:t>
            </w:r>
          </w:p>
        </w:tc>
        <w:tc>
          <w:tcPr>
            <w:tcW w:w="5231" w:type="dxa"/>
          </w:tcPr>
          <w:p w:rsidR="005F1BAE" w:rsidRPr="00FA2372" w:rsidRDefault="005F1BAE" w:rsidP="00BC48D6">
            <w:pPr>
              <w:ind w:firstLine="709"/>
              <w:jc w:val="both"/>
              <w:rPr>
                <w:b/>
              </w:rPr>
            </w:pPr>
            <w:r w:rsidRPr="00FA2372">
              <w:rPr>
                <w:b/>
              </w:rPr>
              <w:t>Статья 11-1.</w:t>
            </w:r>
          </w:p>
          <w:p w:rsidR="005F1BAE" w:rsidRPr="00FA2372" w:rsidRDefault="005F1BAE" w:rsidP="00BC48D6">
            <w:pPr>
              <w:autoSpaceDE w:val="0"/>
              <w:autoSpaceDN w:val="0"/>
              <w:adjustRightInd w:val="0"/>
              <w:ind w:firstLine="709"/>
              <w:jc w:val="both"/>
            </w:pPr>
            <w:r w:rsidRPr="00FA2372">
              <w:t>…</w:t>
            </w:r>
          </w:p>
          <w:p w:rsidR="005F1BAE" w:rsidRPr="00FA2372" w:rsidRDefault="005F1BAE" w:rsidP="00BC48D6">
            <w:pPr>
              <w:autoSpaceDE w:val="0"/>
              <w:autoSpaceDN w:val="0"/>
              <w:adjustRightInd w:val="0"/>
              <w:ind w:firstLine="709"/>
              <w:jc w:val="both"/>
            </w:pPr>
            <w:r w:rsidRPr="00FA2372">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а также субсидий из республиканского бюджета,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w:t>
            </w:r>
            <w:r w:rsidRPr="00FA2372">
              <w:lastRenderedPageBreak/>
              <w:t>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а также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с последующим внесением изменений в Закон Приднестровской Молдавской Республики «О республиканском бюджете на 2025 год».</w:t>
            </w:r>
          </w:p>
          <w:p w:rsidR="005F1BAE" w:rsidRPr="00FA2372" w:rsidRDefault="005F1BAE" w:rsidP="00BC48D6">
            <w:pPr>
              <w:ind w:firstLine="709"/>
              <w:jc w:val="both"/>
              <w:rPr>
                <w:b/>
              </w:rPr>
            </w:pPr>
            <w:r w:rsidRPr="00FA2372">
              <w:rPr>
                <w:b/>
              </w:rPr>
              <w:t>…</w:t>
            </w:r>
          </w:p>
        </w:tc>
        <w:tc>
          <w:tcPr>
            <w:tcW w:w="4535" w:type="dxa"/>
          </w:tcPr>
          <w:p w:rsidR="005F1BAE" w:rsidRPr="00FA2372" w:rsidRDefault="005F1BAE" w:rsidP="00BC48D6">
            <w:pPr>
              <w:ind w:firstLine="709"/>
              <w:jc w:val="both"/>
              <w:rPr>
                <w:b/>
              </w:rPr>
            </w:pPr>
            <w:r w:rsidRPr="00FA2372">
              <w:rPr>
                <w:b/>
              </w:rPr>
              <w:lastRenderedPageBreak/>
              <w:t>Статья 11-1</w:t>
            </w:r>
          </w:p>
          <w:p w:rsidR="005F1BAE" w:rsidRPr="00FA2372" w:rsidRDefault="005F1BAE" w:rsidP="00BC48D6">
            <w:pPr>
              <w:ind w:firstLine="709"/>
              <w:jc w:val="both"/>
              <w:rPr>
                <w:bCs/>
              </w:rPr>
            </w:pPr>
            <w:r w:rsidRPr="00FA2372">
              <w:rPr>
                <w:bCs/>
              </w:rPr>
              <w:t>…</w:t>
            </w:r>
          </w:p>
          <w:p w:rsidR="005F1BAE" w:rsidRPr="00FA2372" w:rsidRDefault="005F1BAE" w:rsidP="00BC48D6">
            <w:pPr>
              <w:autoSpaceDE w:val="0"/>
              <w:autoSpaceDN w:val="0"/>
              <w:adjustRightInd w:val="0"/>
              <w:ind w:firstLine="709"/>
              <w:jc w:val="both"/>
            </w:pPr>
            <w:r w:rsidRPr="00FA2372">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а также субсидий из республиканского </w:t>
            </w:r>
            <w:r w:rsidRPr="00FA2372">
              <w:lastRenderedPageBreak/>
              <w:t xml:space="preserve">бюджета, 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w:t>
            </w:r>
            <w:bookmarkStart w:id="0" w:name="_GoBack"/>
            <w:bookmarkEnd w:id="0"/>
            <w:r w:rsidRPr="00FA2372">
              <w:t>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w:t>
            </w:r>
            <w:r w:rsidRPr="00FA2372">
              <w:rPr>
                <w:b/>
              </w:rPr>
              <w:t>, а также на оплату принятых бюджетных обязательств за счет средств, имеющих целевое назначение</w:t>
            </w:r>
            <w:r w:rsidRPr="00FA2372">
              <w:t>, с последующим внесением изменений в Закон Приднестровской Молдавской Республики «О республиканском бюджете на 2025 год».</w:t>
            </w:r>
          </w:p>
          <w:p w:rsidR="005F1BAE" w:rsidRPr="00FA2372" w:rsidRDefault="005F1BAE" w:rsidP="00BC48D6">
            <w:pPr>
              <w:jc w:val="both"/>
            </w:pPr>
            <w:r w:rsidRPr="00FA2372">
              <w:t>…</w:t>
            </w:r>
          </w:p>
          <w:p w:rsidR="005F1BAE" w:rsidRPr="00FA2372" w:rsidRDefault="005F1BAE" w:rsidP="00BC48D6">
            <w:pPr>
              <w:ind w:firstLine="709"/>
              <w:jc w:val="both"/>
              <w:rPr>
                <w:b/>
              </w:rPr>
            </w:pPr>
          </w:p>
        </w:tc>
      </w:tr>
    </w:tbl>
    <w:p w:rsidR="009A542C" w:rsidRDefault="009A542C"/>
    <w:sectPr w:rsidR="009A5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AE"/>
    <w:rsid w:val="00360F0A"/>
    <w:rsid w:val="005F1BAE"/>
    <w:rsid w:val="009A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50D81-EA6E-4831-B42F-8CA764BD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B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F1B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2025-08-07T06:06:00Z</dcterms:created>
  <dcterms:modified xsi:type="dcterms:W3CDTF">2025-08-07T06:17:00Z</dcterms:modified>
</cp:coreProperties>
</file>