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5401" w14:textId="77777777" w:rsidR="009A2D2C" w:rsidRPr="00992A53" w:rsidRDefault="009A2D2C" w:rsidP="009A2D2C">
      <w:pPr>
        <w:jc w:val="center"/>
        <w:rPr>
          <w:b w:val="0"/>
          <w:color w:val="auto"/>
          <w:sz w:val="24"/>
          <w:szCs w:val="24"/>
        </w:rPr>
      </w:pPr>
      <w:r w:rsidRPr="00B3164F">
        <w:rPr>
          <w:b w:val="0"/>
          <w:color w:val="auto"/>
          <w:sz w:val="24"/>
          <w:szCs w:val="24"/>
        </w:rPr>
        <w:t>Сравнительная таблица</w:t>
      </w:r>
      <w:r>
        <w:rPr>
          <w:b w:val="0"/>
          <w:color w:val="auto"/>
          <w:sz w:val="24"/>
          <w:szCs w:val="24"/>
        </w:rPr>
        <w:t xml:space="preserve"> </w:t>
      </w:r>
      <w:r>
        <w:rPr>
          <w:b w:val="0"/>
          <w:bCs w:val="0"/>
          <w:sz w:val="24"/>
          <w:szCs w:val="24"/>
        </w:rPr>
        <w:t xml:space="preserve">к проекту </w:t>
      </w:r>
      <w:r w:rsidRPr="00480383">
        <w:rPr>
          <w:b w:val="0"/>
          <w:bCs w:val="0"/>
          <w:sz w:val="24"/>
          <w:szCs w:val="24"/>
        </w:rPr>
        <w:t>конституционного закона Придне</w:t>
      </w:r>
      <w:r>
        <w:rPr>
          <w:b w:val="0"/>
          <w:bCs w:val="0"/>
          <w:sz w:val="24"/>
          <w:szCs w:val="24"/>
        </w:rPr>
        <w:t xml:space="preserve">стровской Молдавской Республики </w:t>
      </w:r>
      <w:r w:rsidRPr="00480383">
        <w:rPr>
          <w:b w:val="0"/>
          <w:bCs w:val="0"/>
          <w:sz w:val="24"/>
          <w:szCs w:val="24"/>
        </w:rPr>
        <w:t xml:space="preserve">«О внесении </w:t>
      </w:r>
      <w:r w:rsidRPr="00BE70FB">
        <w:rPr>
          <w:b w:val="0"/>
          <w:bCs w:val="0"/>
          <w:sz w:val="24"/>
          <w:szCs w:val="24"/>
        </w:rPr>
        <w:t>изменени</w:t>
      </w:r>
      <w:r>
        <w:rPr>
          <w:b w:val="0"/>
          <w:bCs w:val="0"/>
          <w:sz w:val="24"/>
          <w:szCs w:val="24"/>
        </w:rPr>
        <w:t>я</w:t>
      </w:r>
      <w:r w:rsidRPr="00BE70FB">
        <w:rPr>
          <w:b w:val="0"/>
          <w:bCs w:val="0"/>
          <w:sz w:val="24"/>
          <w:szCs w:val="24"/>
        </w:rPr>
        <w:t xml:space="preserve"> </w:t>
      </w:r>
      <w:r w:rsidRPr="00480383">
        <w:rPr>
          <w:b w:val="0"/>
          <w:bCs w:val="0"/>
          <w:sz w:val="24"/>
          <w:szCs w:val="24"/>
        </w:rPr>
        <w:t>в Конституционный закон Приднестровской Молдавской Республики «О статусе судей в Приднестровской Молдавской Республике»</w:t>
      </w:r>
    </w:p>
    <w:p w14:paraId="4A9C89D2" w14:textId="77777777" w:rsidR="009A2D2C" w:rsidRDefault="009A2D2C" w:rsidP="009A2D2C">
      <w:pPr>
        <w:jc w:val="center"/>
        <w:rPr>
          <w:b w:val="0"/>
          <w:bCs w:val="0"/>
          <w:sz w:val="24"/>
          <w:szCs w:val="24"/>
        </w:rPr>
      </w:pPr>
    </w:p>
    <w:p w14:paraId="72602703" w14:textId="77777777" w:rsidR="009A2D2C" w:rsidRPr="00B3164F" w:rsidRDefault="009A2D2C" w:rsidP="009A2D2C">
      <w:pPr>
        <w:rPr>
          <w:b w:val="0"/>
          <w:color w:val="auto"/>
          <w:sz w:val="10"/>
          <w:szCs w:val="10"/>
        </w:rPr>
      </w:pPr>
    </w:p>
    <w:tbl>
      <w:tblPr>
        <w:tblW w:w="515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9"/>
      </w:tblGrid>
      <w:tr w:rsidR="009A2D2C" w:rsidRPr="00B3164F" w14:paraId="544A0D2A" w14:textId="77777777" w:rsidTr="00916599">
        <w:trPr>
          <w:tblHeader/>
          <w:jc w:val="right"/>
        </w:trPr>
        <w:tc>
          <w:tcPr>
            <w:tcW w:w="2500" w:type="pct"/>
            <w:shd w:val="clear" w:color="auto" w:fill="BFBFBF" w:themeFill="background1" w:themeFillShade="BF"/>
          </w:tcPr>
          <w:p w14:paraId="7B8AA20B" w14:textId="77777777" w:rsidR="009A2D2C" w:rsidRPr="00B3164F" w:rsidRDefault="009A2D2C" w:rsidP="00916599">
            <w:pPr>
              <w:autoSpaceDE w:val="0"/>
              <w:autoSpaceDN w:val="0"/>
              <w:adjustRightInd w:val="0"/>
              <w:ind w:firstLine="284"/>
              <w:jc w:val="center"/>
              <w:rPr>
                <w:b w:val="0"/>
                <w:color w:val="auto"/>
              </w:rPr>
            </w:pPr>
            <w:bookmarkStart w:id="0" w:name="_GoBack"/>
            <w:bookmarkEnd w:id="0"/>
            <w:r w:rsidRPr="00F1231E">
              <w:rPr>
                <w:b w:val="0"/>
                <w:bCs w:val="0"/>
                <w:color w:val="auto"/>
                <w:sz w:val="24"/>
                <w:szCs w:val="24"/>
              </w:rPr>
              <w:t>Действующая редакция</w:t>
            </w:r>
          </w:p>
        </w:tc>
        <w:tc>
          <w:tcPr>
            <w:tcW w:w="2500" w:type="pct"/>
            <w:shd w:val="clear" w:color="auto" w:fill="BFBFBF" w:themeFill="background1" w:themeFillShade="BF"/>
          </w:tcPr>
          <w:p w14:paraId="10778586" w14:textId="77777777" w:rsidR="009A2D2C" w:rsidRPr="00B3164F" w:rsidRDefault="009A2D2C" w:rsidP="00916599">
            <w:pPr>
              <w:autoSpaceDE w:val="0"/>
              <w:autoSpaceDN w:val="0"/>
              <w:adjustRightInd w:val="0"/>
              <w:ind w:firstLine="284"/>
              <w:jc w:val="center"/>
              <w:rPr>
                <w:b w:val="0"/>
                <w:color w:val="auto"/>
              </w:rPr>
            </w:pPr>
            <w:r w:rsidRPr="00F1231E">
              <w:rPr>
                <w:b w:val="0"/>
                <w:bCs w:val="0"/>
                <w:color w:val="auto"/>
                <w:sz w:val="24"/>
                <w:szCs w:val="24"/>
              </w:rPr>
              <w:t>Предлагаемая редакция</w:t>
            </w:r>
          </w:p>
        </w:tc>
      </w:tr>
      <w:tr w:rsidR="009A2D2C" w:rsidRPr="00B3164F" w14:paraId="6B8CD8F0" w14:textId="77777777" w:rsidTr="00916599">
        <w:trPr>
          <w:tblHeader/>
          <w:jc w:val="right"/>
        </w:trPr>
        <w:tc>
          <w:tcPr>
            <w:tcW w:w="2500" w:type="pct"/>
            <w:shd w:val="clear" w:color="auto" w:fill="BFBFBF" w:themeFill="background1" w:themeFillShade="BF"/>
          </w:tcPr>
          <w:p w14:paraId="37E7F9E5" w14:textId="77777777" w:rsidR="009A2D2C" w:rsidRPr="00B3164F" w:rsidRDefault="009A2D2C" w:rsidP="00916599">
            <w:pPr>
              <w:jc w:val="center"/>
              <w:rPr>
                <w:b w:val="0"/>
                <w:color w:val="auto"/>
              </w:rPr>
            </w:pPr>
            <w:r w:rsidRPr="00B3164F">
              <w:rPr>
                <w:b w:val="0"/>
                <w:color w:val="auto"/>
              </w:rPr>
              <w:t>1</w:t>
            </w:r>
          </w:p>
        </w:tc>
        <w:tc>
          <w:tcPr>
            <w:tcW w:w="2500" w:type="pct"/>
            <w:shd w:val="clear" w:color="auto" w:fill="BFBFBF" w:themeFill="background1" w:themeFillShade="BF"/>
          </w:tcPr>
          <w:p w14:paraId="596AA6C6" w14:textId="77777777" w:rsidR="009A2D2C" w:rsidRPr="00B3164F" w:rsidRDefault="009A2D2C" w:rsidP="00916599">
            <w:pPr>
              <w:jc w:val="center"/>
              <w:rPr>
                <w:b w:val="0"/>
                <w:color w:val="auto"/>
              </w:rPr>
            </w:pPr>
            <w:r w:rsidRPr="00B3164F">
              <w:rPr>
                <w:b w:val="0"/>
                <w:color w:val="auto"/>
              </w:rPr>
              <w:t>2</w:t>
            </w:r>
          </w:p>
        </w:tc>
      </w:tr>
      <w:tr w:rsidR="009A2D2C" w:rsidRPr="00B3164F" w14:paraId="5F9608DB" w14:textId="77777777" w:rsidTr="00916599">
        <w:trPr>
          <w:trHeight w:val="1206"/>
          <w:jc w:val="right"/>
        </w:trPr>
        <w:tc>
          <w:tcPr>
            <w:tcW w:w="2500" w:type="pct"/>
          </w:tcPr>
          <w:p w14:paraId="156B5551" w14:textId="77777777" w:rsidR="009A2D2C" w:rsidRDefault="009A2D2C" w:rsidP="00916599">
            <w:pPr>
              <w:autoSpaceDE w:val="0"/>
              <w:autoSpaceDN w:val="0"/>
              <w:adjustRightInd w:val="0"/>
              <w:ind w:firstLine="284"/>
              <w:jc w:val="both"/>
              <w:rPr>
                <w:b w:val="0"/>
                <w:bCs w:val="0"/>
                <w:color w:val="auto"/>
                <w:sz w:val="24"/>
                <w:szCs w:val="24"/>
              </w:rPr>
            </w:pPr>
            <w:r w:rsidRPr="00BE70FB">
              <w:rPr>
                <w:color w:val="auto"/>
                <w:sz w:val="24"/>
                <w:szCs w:val="24"/>
              </w:rPr>
              <w:t>Статья 22.</w:t>
            </w:r>
            <w:r w:rsidRPr="00BE70FB">
              <w:rPr>
                <w:b w:val="0"/>
                <w:bCs w:val="0"/>
                <w:color w:val="auto"/>
                <w:sz w:val="24"/>
                <w:szCs w:val="24"/>
              </w:rPr>
              <w:t xml:space="preserve"> Материальное обеспечение судей</w:t>
            </w:r>
          </w:p>
          <w:p w14:paraId="51B4CE14" w14:textId="77777777" w:rsidR="009A2D2C" w:rsidRPr="00BE70FB" w:rsidRDefault="009A2D2C" w:rsidP="00916599">
            <w:pPr>
              <w:autoSpaceDE w:val="0"/>
              <w:autoSpaceDN w:val="0"/>
              <w:adjustRightInd w:val="0"/>
              <w:ind w:firstLine="284"/>
              <w:jc w:val="both"/>
              <w:rPr>
                <w:b w:val="0"/>
                <w:bCs w:val="0"/>
                <w:color w:val="auto"/>
                <w:sz w:val="24"/>
                <w:szCs w:val="24"/>
              </w:rPr>
            </w:pPr>
          </w:p>
          <w:p w14:paraId="2052C450" w14:textId="77777777" w:rsidR="009A2D2C" w:rsidRPr="00BE70FB" w:rsidRDefault="009A2D2C" w:rsidP="00916599">
            <w:pPr>
              <w:autoSpaceDE w:val="0"/>
              <w:autoSpaceDN w:val="0"/>
              <w:adjustRightInd w:val="0"/>
              <w:ind w:firstLine="284"/>
              <w:jc w:val="both"/>
              <w:rPr>
                <w:b w:val="0"/>
                <w:bCs w:val="0"/>
                <w:color w:val="auto"/>
                <w:sz w:val="24"/>
                <w:szCs w:val="24"/>
              </w:rPr>
            </w:pPr>
            <w:r w:rsidRPr="00BE70FB">
              <w:rPr>
                <w:b w:val="0"/>
                <w:bCs w:val="0"/>
                <w:color w:val="auto"/>
                <w:sz w:val="24"/>
                <w:szCs w:val="24"/>
              </w:rPr>
              <w:t>1. Ежемесячное денежное содержание судьям Приднестровской Молдавской Республики определяется в соответствии с Положением об условиях оплаты труда судей Приднестровской Молдавской Республики, являющимся Приложением к настоящему Конституционному закону.</w:t>
            </w:r>
          </w:p>
          <w:p w14:paraId="2241EBE2" w14:textId="77777777" w:rsidR="009A2D2C" w:rsidRPr="00BE70FB" w:rsidRDefault="009A2D2C" w:rsidP="00916599">
            <w:pPr>
              <w:autoSpaceDE w:val="0"/>
              <w:autoSpaceDN w:val="0"/>
              <w:adjustRightInd w:val="0"/>
              <w:ind w:firstLine="284"/>
              <w:jc w:val="both"/>
              <w:rPr>
                <w:color w:val="auto"/>
                <w:sz w:val="24"/>
                <w:szCs w:val="24"/>
              </w:rPr>
            </w:pPr>
            <w:r w:rsidRPr="00BE70FB">
              <w:rPr>
                <w:color w:val="auto"/>
                <w:sz w:val="24"/>
                <w:szCs w:val="24"/>
              </w:rPr>
              <w:tab/>
              <w:t>Выплаты судьям Приднестровской Молдавской Республики, указанные в части первой пункта 1 настоящей статьи, не облагаются налогом.</w:t>
            </w:r>
          </w:p>
          <w:p w14:paraId="56030721" w14:textId="77777777" w:rsidR="009A2D2C" w:rsidRPr="00B3164F" w:rsidRDefault="009A2D2C" w:rsidP="00916599">
            <w:pPr>
              <w:pStyle w:val="a3"/>
              <w:jc w:val="both"/>
              <w:rPr>
                <w:b/>
              </w:rPr>
            </w:pPr>
            <w:r w:rsidRPr="00B3164F">
              <w:rPr>
                <w:b/>
              </w:rPr>
              <w:t xml:space="preserve"> </w:t>
            </w:r>
          </w:p>
        </w:tc>
        <w:tc>
          <w:tcPr>
            <w:tcW w:w="2500" w:type="pct"/>
          </w:tcPr>
          <w:p w14:paraId="4D356883" w14:textId="77777777" w:rsidR="009A2D2C" w:rsidRDefault="009A2D2C" w:rsidP="00916599">
            <w:pPr>
              <w:autoSpaceDE w:val="0"/>
              <w:autoSpaceDN w:val="0"/>
              <w:adjustRightInd w:val="0"/>
              <w:ind w:firstLine="284"/>
              <w:jc w:val="both"/>
              <w:rPr>
                <w:b w:val="0"/>
                <w:bCs w:val="0"/>
                <w:color w:val="auto"/>
                <w:sz w:val="24"/>
                <w:szCs w:val="24"/>
              </w:rPr>
            </w:pPr>
            <w:r w:rsidRPr="00BE70FB">
              <w:rPr>
                <w:color w:val="auto"/>
                <w:sz w:val="24"/>
                <w:szCs w:val="24"/>
              </w:rPr>
              <w:t>Статья 22.</w:t>
            </w:r>
            <w:r w:rsidRPr="00BE70FB">
              <w:rPr>
                <w:b w:val="0"/>
                <w:bCs w:val="0"/>
                <w:color w:val="auto"/>
                <w:sz w:val="24"/>
                <w:szCs w:val="24"/>
              </w:rPr>
              <w:t xml:space="preserve"> Материальное обеспечение судей</w:t>
            </w:r>
          </w:p>
          <w:p w14:paraId="14F7362B" w14:textId="77777777" w:rsidR="009A2D2C" w:rsidRPr="00BE70FB" w:rsidRDefault="009A2D2C" w:rsidP="00916599">
            <w:pPr>
              <w:autoSpaceDE w:val="0"/>
              <w:autoSpaceDN w:val="0"/>
              <w:adjustRightInd w:val="0"/>
              <w:ind w:firstLine="284"/>
              <w:jc w:val="both"/>
              <w:rPr>
                <w:b w:val="0"/>
                <w:bCs w:val="0"/>
                <w:color w:val="auto"/>
                <w:sz w:val="24"/>
                <w:szCs w:val="24"/>
              </w:rPr>
            </w:pPr>
          </w:p>
          <w:p w14:paraId="6AE5DB85" w14:textId="77777777" w:rsidR="009A2D2C" w:rsidRPr="00BE70FB" w:rsidRDefault="009A2D2C" w:rsidP="00916599">
            <w:pPr>
              <w:autoSpaceDE w:val="0"/>
              <w:autoSpaceDN w:val="0"/>
              <w:adjustRightInd w:val="0"/>
              <w:ind w:firstLine="284"/>
              <w:jc w:val="both"/>
              <w:rPr>
                <w:b w:val="0"/>
                <w:bCs w:val="0"/>
                <w:color w:val="auto"/>
                <w:sz w:val="24"/>
                <w:szCs w:val="24"/>
              </w:rPr>
            </w:pPr>
            <w:r w:rsidRPr="00BE70FB">
              <w:rPr>
                <w:b w:val="0"/>
                <w:bCs w:val="0"/>
                <w:color w:val="auto"/>
                <w:sz w:val="24"/>
                <w:szCs w:val="24"/>
              </w:rPr>
              <w:t>1. Ежемесячное денежное содержание судьям Приднестровской Молдавской Республики определяется в соответствии с Положением об условиях оплаты труда судей Приднестровской Молдавской Республики, являющимся Приложением к настоящему Конституционному закону.</w:t>
            </w:r>
          </w:p>
          <w:p w14:paraId="0F237D99" w14:textId="77777777" w:rsidR="009A2D2C" w:rsidRPr="00B3164F" w:rsidRDefault="009A2D2C" w:rsidP="00916599">
            <w:pPr>
              <w:autoSpaceDE w:val="0"/>
              <w:autoSpaceDN w:val="0"/>
              <w:adjustRightInd w:val="0"/>
              <w:ind w:firstLine="284"/>
              <w:jc w:val="both"/>
              <w:rPr>
                <w:b w:val="0"/>
                <w:color w:val="auto"/>
              </w:rPr>
            </w:pPr>
          </w:p>
        </w:tc>
      </w:tr>
    </w:tbl>
    <w:p w14:paraId="6CE88DB8" w14:textId="77777777" w:rsidR="004917E6" w:rsidRDefault="004917E6"/>
    <w:sectPr w:rsidR="00491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44"/>
    <w:rsid w:val="004917E6"/>
    <w:rsid w:val="00501410"/>
    <w:rsid w:val="00916344"/>
    <w:rsid w:val="009A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B5503-36AD-446B-B654-04FA8E37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D2C"/>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Зна Знак, Знак Знак Знак Знак"/>
    <w:basedOn w:val="a"/>
    <w:link w:val="a4"/>
    <w:rsid w:val="009A2D2C"/>
    <w:rPr>
      <w:rFonts w:ascii="Courier New" w:hAnsi="Courier New" w:cs="Courier New"/>
      <w:b w:val="0"/>
      <w:bCs w:val="0"/>
      <w:color w:val="auto"/>
    </w:rPr>
  </w:style>
  <w:style w:type="character" w:customStyle="1" w:styleId="a4">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3"/>
    <w:rsid w:val="009A2D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4</cp:revision>
  <cp:lastPrinted>2025-08-20T14:02:00Z</cp:lastPrinted>
  <dcterms:created xsi:type="dcterms:W3CDTF">2025-08-20T13:55:00Z</dcterms:created>
  <dcterms:modified xsi:type="dcterms:W3CDTF">2025-08-20T14:02:00Z</dcterms:modified>
</cp:coreProperties>
</file>