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243F" w14:textId="77777777" w:rsidR="00E958B6" w:rsidRPr="00B275DA" w:rsidRDefault="00E958B6" w:rsidP="00B275DA">
      <w:pPr>
        <w:pStyle w:val="af6"/>
        <w:jc w:val="both"/>
      </w:pPr>
      <w:bookmarkStart w:id="0" w:name="_GoBack"/>
      <w:bookmarkEnd w:id="0"/>
    </w:p>
    <w:p w14:paraId="28E084F7" w14:textId="635A6741" w:rsidR="004D0E96" w:rsidRPr="00B275DA" w:rsidRDefault="004D0E96" w:rsidP="00B275DA">
      <w:pPr>
        <w:pStyle w:val="af6"/>
        <w:jc w:val="both"/>
      </w:pPr>
      <w:r w:rsidRPr="00B275DA">
        <w:t>СРАВНИТЕЛЬНАЯ ТАБЛИЦА</w:t>
      </w:r>
    </w:p>
    <w:p w14:paraId="4859B433" w14:textId="77777777" w:rsidR="004D0E96" w:rsidRPr="00B275DA" w:rsidRDefault="004D0E96" w:rsidP="00B275DA">
      <w:pPr>
        <w:pStyle w:val="af6"/>
        <w:jc w:val="both"/>
      </w:pPr>
      <w:r w:rsidRPr="00B275DA">
        <w:t>к проекту закона Приднестровской Молдавской Республики</w:t>
      </w:r>
    </w:p>
    <w:p w14:paraId="3462D268" w14:textId="77777777" w:rsidR="004D0E96" w:rsidRPr="00B275DA" w:rsidRDefault="004D0E96" w:rsidP="00B275DA">
      <w:pPr>
        <w:pStyle w:val="af6"/>
        <w:jc w:val="both"/>
      </w:pPr>
      <w:r w:rsidRPr="00B275DA">
        <w:t xml:space="preserve">«О внесении изменений в Закон Приднестровской Молдавской Республики </w:t>
      </w:r>
    </w:p>
    <w:p w14:paraId="79DFD10B" w14:textId="77777777" w:rsidR="00CD12D1" w:rsidRPr="00B275DA" w:rsidRDefault="004D0E96" w:rsidP="00B275DA">
      <w:pPr>
        <w:pStyle w:val="af6"/>
        <w:jc w:val="both"/>
      </w:pPr>
      <w:r w:rsidRPr="00B275DA">
        <w:t xml:space="preserve">«О платежах за загрязнение окружающей природной среды </w:t>
      </w:r>
    </w:p>
    <w:p w14:paraId="4E2EBD5E" w14:textId="1A63990C" w:rsidR="004D0E96" w:rsidRPr="00B275DA" w:rsidRDefault="004D0E96" w:rsidP="00B275DA">
      <w:pPr>
        <w:pStyle w:val="af6"/>
        <w:jc w:val="both"/>
        <w:rPr>
          <w:rFonts w:eastAsia="Calibri"/>
        </w:rPr>
      </w:pPr>
      <w:r w:rsidRPr="00B275DA">
        <w:t>и пользование природными ресурсами»</w:t>
      </w:r>
    </w:p>
    <w:p w14:paraId="722393F7" w14:textId="77777777" w:rsidR="004D0E96" w:rsidRPr="00B275DA" w:rsidRDefault="004D0E96" w:rsidP="00B275DA">
      <w:pPr>
        <w:pStyle w:val="af6"/>
        <w:jc w:val="both"/>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4962"/>
      </w:tblGrid>
      <w:tr w:rsidR="004D0E96" w:rsidRPr="00B275DA" w14:paraId="77F5C2D3"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59F05C3F" w14:textId="77777777" w:rsidR="004D0E96" w:rsidRPr="00B275DA" w:rsidRDefault="004D0E96" w:rsidP="00B275DA">
            <w:pPr>
              <w:pStyle w:val="af6"/>
              <w:jc w:val="both"/>
            </w:pPr>
            <w:r w:rsidRPr="00B275DA">
              <w:t>Действующая редакция</w:t>
            </w:r>
          </w:p>
        </w:tc>
        <w:tc>
          <w:tcPr>
            <w:tcW w:w="4962" w:type="dxa"/>
            <w:tcBorders>
              <w:top w:val="single" w:sz="4" w:space="0" w:color="auto"/>
              <w:left w:val="single" w:sz="4" w:space="0" w:color="auto"/>
              <w:bottom w:val="single" w:sz="4" w:space="0" w:color="auto"/>
              <w:right w:val="single" w:sz="4" w:space="0" w:color="auto"/>
            </w:tcBorders>
            <w:hideMark/>
          </w:tcPr>
          <w:p w14:paraId="750FBDEA" w14:textId="77777777" w:rsidR="004D0E96" w:rsidRPr="00B275DA" w:rsidRDefault="004D0E96" w:rsidP="00B275DA">
            <w:pPr>
              <w:pStyle w:val="af6"/>
              <w:jc w:val="both"/>
            </w:pPr>
            <w:r w:rsidRPr="00B275DA">
              <w:t>Предлагаемая редакция</w:t>
            </w:r>
          </w:p>
        </w:tc>
      </w:tr>
      <w:tr w:rsidR="004D0E96" w:rsidRPr="00B275DA" w14:paraId="20C49E95" w14:textId="77777777" w:rsidTr="004D0E96">
        <w:tc>
          <w:tcPr>
            <w:tcW w:w="4818" w:type="dxa"/>
            <w:tcBorders>
              <w:top w:val="single" w:sz="4" w:space="0" w:color="auto"/>
              <w:left w:val="single" w:sz="4" w:space="0" w:color="auto"/>
              <w:bottom w:val="single" w:sz="4" w:space="0" w:color="auto"/>
              <w:right w:val="single" w:sz="4" w:space="0" w:color="auto"/>
            </w:tcBorders>
          </w:tcPr>
          <w:p w14:paraId="2A400C91" w14:textId="77777777" w:rsidR="004D0E96" w:rsidRPr="00B275DA" w:rsidRDefault="004D0E96" w:rsidP="00B275DA">
            <w:pPr>
              <w:pStyle w:val="af6"/>
              <w:jc w:val="both"/>
            </w:pPr>
            <w:r w:rsidRPr="00B275DA">
              <w:t>Статья 9. Платежи за выбросы в атмосферу загрязняющих веществ от передвижных источников загрязнения</w:t>
            </w:r>
          </w:p>
          <w:p w14:paraId="762EF083" w14:textId="77777777" w:rsidR="004D0E96" w:rsidRPr="00B275DA" w:rsidRDefault="004D0E96" w:rsidP="00B275DA">
            <w:pPr>
              <w:pStyle w:val="af6"/>
              <w:jc w:val="both"/>
            </w:pPr>
            <w:r w:rsidRPr="00B275DA">
              <w:t>…</w:t>
            </w:r>
          </w:p>
          <w:p w14:paraId="01CDC9A1" w14:textId="77777777" w:rsidR="004D0E96" w:rsidRPr="00B275DA" w:rsidRDefault="004D0E96" w:rsidP="00B275DA">
            <w:pPr>
              <w:pStyle w:val="af6"/>
              <w:jc w:val="both"/>
            </w:pPr>
            <w:r w:rsidRPr="00B275DA">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4EBCD8AA" w14:textId="77777777" w:rsidR="004D0E96" w:rsidRPr="00B275DA" w:rsidRDefault="004D0E96" w:rsidP="00B275DA">
            <w:pPr>
              <w:pStyle w:val="af6"/>
              <w:jc w:val="both"/>
            </w:pPr>
            <w:r w:rsidRPr="00B275DA">
              <w:t>…</w:t>
            </w:r>
          </w:p>
          <w:p w14:paraId="3DD0CDEC" w14:textId="77777777" w:rsidR="004D0E96" w:rsidRPr="00B275DA" w:rsidRDefault="004D0E96" w:rsidP="00B275DA">
            <w:pPr>
              <w:pStyle w:val="af6"/>
              <w:jc w:val="both"/>
            </w:pPr>
            <w:r w:rsidRPr="00B275DA">
              <w:t xml:space="preserve">б)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0E78B140" w14:textId="77777777" w:rsidR="004D0E96" w:rsidRPr="00B275DA" w:rsidRDefault="004D0E96" w:rsidP="00B275DA">
            <w:pPr>
              <w:pStyle w:val="af6"/>
              <w:jc w:val="both"/>
            </w:pPr>
            <w:r w:rsidRPr="00B275DA">
              <w:t>Отметка о результатах замеров выбросов выхлопных газов производится в Талоне технического осмотра;</w:t>
            </w:r>
          </w:p>
          <w:p w14:paraId="4734A7E9" w14:textId="77777777" w:rsidR="004D0E96" w:rsidRPr="00B275DA" w:rsidRDefault="004D0E96" w:rsidP="00B275DA">
            <w:pPr>
              <w:pStyle w:val="af6"/>
              <w:jc w:val="both"/>
            </w:pPr>
          </w:p>
          <w:p w14:paraId="4A1A704F" w14:textId="77777777" w:rsidR="004D0E96" w:rsidRPr="00B275DA" w:rsidRDefault="004D0E96" w:rsidP="00B275DA">
            <w:pPr>
              <w:pStyle w:val="af6"/>
              <w:jc w:val="both"/>
            </w:pPr>
            <w:r w:rsidRPr="00B275DA">
              <w:t>...</w:t>
            </w:r>
          </w:p>
          <w:p w14:paraId="7353584B" w14:textId="77777777" w:rsidR="004D0E96" w:rsidRPr="00B275DA" w:rsidRDefault="004D0E96" w:rsidP="00B275DA">
            <w:pPr>
              <w:pStyle w:val="af6"/>
              <w:jc w:val="both"/>
            </w:pPr>
            <w:r w:rsidRPr="00B275DA">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F6F2E07" w14:textId="77777777" w:rsidR="004D0E96" w:rsidRPr="00B275DA" w:rsidRDefault="004D0E96" w:rsidP="00B275DA">
            <w:pPr>
              <w:pStyle w:val="af6"/>
              <w:jc w:val="both"/>
            </w:pPr>
            <w:r w:rsidRPr="00B275DA">
              <w:t>…</w:t>
            </w:r>
          </w:p>
          <w:p w14:paraId="4745BB41" w14:textId="77777777" w:rsidR="004D0E96" w:rsidRPr="00B275DA" w:rsidRDefault="004D0E96" w:rsidP="00B275DA">
            <w:pPr>
              <w:pStyle w:val="af6"/>
              <w:jc w:val="both"/>
            </w:pPr>
            <w:r w:rsidRPr="00B275DA">
              <w:t xml:space="preserve"> б) внесение платежей осуществляется при ежегодном прохождении техосмотра. </w:t>
            </w:r>
          </w:p>
          <w:p w14:paraId="592D77FD" w14:textId="54EC15A4" w:rsidR="004D0E96" w:rsidRPr="00B275DA" w:rsidRDefault="004D0E96" w:rsidP="00B275DA">
            <w:pPr>
              <w:pStyle w:val="af6"/>
              <w:jc w:val="both"/>
            </w:pPr>
            <w:r w:rsidRPr="00B275DA">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40611AC6" w14:textId="77777777" w:rsidR="004D0E96" w:rsidRPr="00B275DA" w:rsidRDefault="004D0E96" w:rsidP="00B275DA">
            <w:pPr>
              <w:pStyle w:val="af6"/>
              <w:jc w:val="both"/>
            </w:pPr>
            <w:r w:rsidRPr="00B275DA">
              <w:lastRenderedPageBreak/>
              <w:t>Отметка о результатах замеров выбросов выхлопных газов производится в «Талоне технического осмотра.</w:t>
            </w:r>
          </w:p>
          <w:p w14:paraId="684CED0D" w14:textId="77777777" w:rsidR="004D0E96" w:rsidRPr="00B275DA" w:rsidRDefault="004D0E96" w:rsidP="00B275DA">
            <w:pPr>
              <w:pStyle w:val="af6"/>
              <w:jc w:val="both"/>
            </w:pPr>
            <w:r w:rsidRPr="00B275DA">
              <w:t>...</w:t>
            </w:r>
          </w:p>
          <w:p w14:paraId="6A2F04BB" w14:textId="77777777" w:rsidR="004D0E96" w:rsidRPr="00B275DA" w:rsidRDefault="004D0E96" w:rsidP="00B275DA">
            <w:pPr>
              <w:pStyle w:val="af6"/>
              <w:jc w:val="both"/>
            </w:pPr>
          </w:p>
          <w:p w14:paraId="28D56130" w14:textId="77777777" w:rsidR="004D0E96" w:rsidRPr="00B275DA" w:rsidRDefault="004D0E96" w:rsidP="00B275DA">
            <w:pPr>
              <w:pStyle w:val="af6"/>
              <w:jc w:val="both"/>
            </w:pPr>
            <w:r w:rsidRPr="00B275DA">
              <w:t>4. Отметка о результатах замеров выбросов выхлопных газов производится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w:t>
            </w:r>
          </w:p>
        </w:tc>
        <w:tc>
          <w:tcPr>
            <w:tcW w:w="4962" w:type="dxa"/>
            <w:tcBorders>
              <w:top w:val="single" w:sz="4" w:space="0" w:color="auto"/>
              <w:left w:val="single" w:sz="4" w:space="0" w:color="auto"/>
              <w:bottom w:val="single" w:sz="4" w:space="0" w:color="auto"/>
              <w:right w:val="single" w:sz="4" w:space="0" w:color="auto"/>
            </w:tcBorders>
            <w:hideMark/>
          </w:tcPr>
          <w:p w14:paraId="1CFE2D74" w14:textId="77777777" w:rsidR="004D0E96" w:rsidRPr="00B275DA" w:rsidRDefault="004D0E96" w:rsidP="00B275DA">
            <w:pPr>
              <w:pStyle w:val="af6"/>
              <w:jc w:val="both"/>
            </w:pPr>
            <w:r w:rsidRPr="00B275DA">
              <w:lastRenderedPageBreak/>
              <w:t>Статья 9. Платежи за выбросы в атмосферу загрязняющих веществ от передвижных источников загрязнения</w:t>
            </w:r>
          </w:p>
          <w:p w14:paraId="5E228BC3" w14:textId="77777777" w:rsidR="004D0E96" w:rsidRPr="00B275DA" w:rsidRDefault="004D0E96" w:rsidP="00B275DA">
            <w:pPr>
              <w:pStyle w:val="af6"/>
              <w:jc w:val="both"/>
            </w:pPr>
            <w:r w:rsidRPr="00B275DA">
              <w:t>…</w:t>
            </w:r>
          </w:p>
          <w:p w14:paraId="6E58A2C3" w14:textId="77777777" w:rsidR="004D0E96" w:rsidRPr="00B275DA" w:rsidRDefault="004D0E96" w:rsidP="00B275DA">
            <w:pPr>
              <w:pStyle w:val="af6"/>
              <w:jc w:val="both"/>
            </w:pPr>
            <w:r w:rsidRPr="00B275DA">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968F465" w14:textId="77777777" w:rsidR="004D0E96" w:rsidRPr="00B275DA" w:rsidRDefault="004D0E96" w:rsidP="00B275DA">
            <w:pPr>
              <w:pStyle w:val="af6"/>
              <w:jc w:val="both"/>
            </w:pPr>
            <w:r w:rsidRPr="00B275DA">
              <w:t>…</w:t>
            </w:r>
          </w:p>
          <w:p w14:paraId="2A74B3B7" w14:textId="77777777" w:rsidR="004D0E96" w:rsidRPr="00B275DA" w:rsidRDefault="004D0E96" w:rsidP="00B275DA">
            <w:pPr>
              <w:pStyle w:val="af6"/>
              <w:jc w:val="both"/>
            </w:pPr>
            <w:r w:rsidRPr="00B275DA">
              <w:t xml:space="preserve">б)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5A1F31F8" w14:textId="77777777" w:rsidR="004D0E96" w:rsidRPr="00B275DA" w:rsidRDefault="004D0E96" w:rsidP="00B275DA">
            <w:pPr>
              <w:pStyle w:val="af6"/>
              <w:jc w:val="both"/>
            </w:pPr>
            <w:r w:rsidRPr="00B275DA">
              <w:t>Отметка о результатах замеров выбросов выхлопных газов проставляется в диагностической карте технического осмотра;</w:t>
            </w:r>
          </w:p>
          <w:p w14:paraId="79CCE3A9" w14:textId="77777777" w:rsidR="004D0E96" w:rsidRPr="00B275DA" w:rsidRDefault="004D0E96" w:rsidP="00B275DA">
            <w:pPr>
              <w:pStyle w:val="af6"/>
              <w:jc w:val="both"/>
            </w:pPr>
            <w:r w:rsidRPr="00B275DA">
              <w:t>...</w:t>
            </w:r>
          </w:p>
          <w:p w14:paraId="4446D22A" w14:textId="77777777" w:rsidR="004D0E96" w:rsidRPr="00B275DA" w:rsidRDefault="004D0E96" w:rsidP="00B275DA">
            <w:pPr>
              <w:pStyle w:val="af6"/>
              <w:jc w:val="both"/>
            </w:pPr>
            <w:r w:rsidRPr="00B275DA">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6BF97431" w14:textId="77777777" w:rsidR="004D0E96" w:rsidRPr="00B275DA" w:rsidRDefault="004D0E96" w:rsidP="00B275DA">
            <w:pPr>
              <w:pStyle w:val="af6"/>
              <w:jc w:val="both"/>
            </w:pPr>
            <w:r w:rsidRPr="00B275DA">
              <w:t>…</w:t>
            </w:r>
          </w:p>
          <w:p w14:paraId="5BEB5AF5" w14:textId="77777777" w:rsidR="004D0E96" w:rsidRPr="00B275DA" w:rsidRDefault="004D0E96" w:rsidP="00B275DA">
            <w:pPr>
              <w:pStyle w:val="af6"/>
              <w:jc w:val="both"/>
            </w:pPr>
            <w:r w:rsidRPr="00B275DA">
              <w:t xml:space="preserve">б) внесение платежей осуществляется при ежегодном прохождении техосмотра. </w:t>
            </w:r>
          </w:p>
          <w:p w14:paraId="6F0D5D37" w14:textId="00072307" w:rsidR="004D0E96" w:rsidRPr="00B275DA" w:rsidRDefault="004D0E96" w:rsidP="00B275DA">
            <w:pPr>
              <w:pStyle w:val="af6"/>
              <w:jc w:val="both"/>
            </w:pPr>
            <w:r w:rsidRPr="00B275DA">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6EBDFC9E" w14:textId="77777777" w:rsidR="004D0E96" w:rsidRPr="00B275DA" w:rsidRDefault="004D0E96" w:rsidP="00B275DA">
            <w:pPr>
              <w:pStyle w:val="af6"/>
              <w:jc w:val="both"/>
            </w:pPr>
            <w:r w:rsidRPr="00B275DA">
              <w:lastRenderedPageBreak/>
              <w:t>Отметка о результатах замеров выбросов выхлопных газов проставляется в диагностической карте технического осмотра.</w:t>
            </w:r>
          </w:p>
          <w:p w14:paraId="09911A22" w14:textId="77777777" w:rsidR="004D0E96" w:rsidRPr="00B275DA" w:rsidRDefault="004D0E96" w:rsidP="00B275DA">
            <w:pPr>
              <w:pStyle w:val="af6"/>
              <w:jc w:val="both"/>
            </w:pPr>
            <w:r w:rsidRPr="00B275DA">
              <w:t>...</w:t>
            </w:r>
          </w:p>
          <w:p w14:paraId="1EA45103" w14:textId="77777777" w:rsidR="004D0E96" w:rsidRPr="00B275DA" w:rsidRDefault="004D0E96" w:rsidP="00B275DA">
            <w:pPr>
              <w:pStyle w:val="af6"/>
              <w:jc w:val="both"/>
            </w:pPr>
            <w:r w:rsidRPr="00B275DA">
              <w:t>4. Отметка о результатах замеров выбросов выхлопных газов проставляется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w:t>
            </w:r>
          </w:p>
        </w:tc>
      </w:tr>
    </w:tbl>
    <w:p w14:paraId="32048057" w14:textId="77777777" w:rsidR="004D0E96" w:rsidRPr="00B275DA" w:rsidRDefault="004D0E96" w:rsidP="00B275DA">
      <w:pPr>
        <w:pStyle w:val="af6"/>
        <w:jc w:val="both"/>
      </w:pPr>
    </w:p>
    <w:p w14:paraId="6F538E07" w14:textId="77777777" w:rsidR="00695330" w:rsidRPr="00B275DA" w:rsidRDefault="00695330" w:rsidP="00B275DA">
      <w:pPr>
        <w:pStyle w:val="af6"/>
        <w:jc w:val="both"/>
      </w:pPr>
    </w:p>
    <w:sectPr w:rsidR="00695330" w:rsidRPr="00B275DA" w:rsidSect="00B275DA">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A82A" w14:textId="77777777" w:rsidR="00B370E7" w:rsidRDefault="00B370E7" w:rsidP="00A25DE6">
      <w:r>
        <w:separator/>
      </w:r>
    </w:p>
  </w:endnote>
  <w:endnote w:type="continuationSeparator" w:id="0">
    <w:p w14:paraId="1F443595" w14:textId="77777777" w:rsidR="00B370E7" w:rsidRDefault="00B370E7" w:rsidP="00A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717AE" w14:textId="77777777" w:rsidR="00B370E7" w:rsidRDefault="00B370E7" w:rsidP="00A25DE6">
      <w:r>
        <w:separator/>
      </w:r>
    </w:p>
  </w:footnote>
  <w:footnote w:type="continuationSeparator" w:id="0">
    <w:p w14:paraId="1ED30328" w14:textId="77777777" w:rsidR="00B370E7" w:rsidRDefault="00B370E7" w:rsidP="00A2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261519"/>
      <w:docPartObj>
        <w:docPartGallery w:val="Page Numbers (Top of Page)"/>
        <w:docPartUnique/>
      </w:docPartObj>
    </w:sdtPr>
    <w:sdtEndPr/>
    <w:sdtContent>
      <w:p w14:paraId="137994FF" w14:textId="5C5B018D" w:rsidR="002F47AD" w:rsidRDefault="002F47AD">
        <w:pPr>
          <w:pStyle w:val="af2"/>
          <w:jc w:val="center"/>
        </w:pPr>
        <w:r>
          <w:fldChar w:fldCharType="begin"/>
        </w:r>
        <w:r>
          <w:instrText>PAGE   \* MERGEFORMAT</w:instrText>
        </w:r>
        <w:r>
          <w:fldChar w:fldCharType="separate"/>
        </w:r>
        <w:r w:rsidR="00B275DA">
          <w:rPr>
            <w:noProof/>
          </w:rPr>
          <w:t>- 2 -</w:t>
        </w:r>
        <w:r>
          <w:fldChar w:fldCharType="end"/>
        </w:r>
      </w:p>
    </w:sdtContent>
  </w:sdt>
  <w:p w14:paraId="64653545" w14:textId="77777777" w:rsidR="002F47AD" w:rsidRDefault="002F47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D"/>
    <w:rsid w:val="000042F8"/>
    <w:rsid w:val="00005AF7"/>
    <w:rsid w:val="00014F17"/>
    <w:rsid w:val="00017964"/>
    <w:rsid w:val="000212BF"/>
    <w:rsid w:val="0002309E"/>
    <w:rsid w:val="00027C49"/>
    <w:rsid w:val="0003558F"/>
    <w:rsid w:val="00042BA8"/>
    <w:rsid w:val="00054A0D"/>
    <w:rsid w:val="00062754"/>
    <w:rsid w:val="00072D60"/>
    <w:rsid w:val="00075B91"/>
    <w:rsid w:val="00082B23"/>
    <w:rsid w:val="00083F5C"/>
    <w:rsid w:val="000909B3"/>
    <w:rsid w:val="00091ACF"/>
    <w:rsid w:val="00092222"/>
    <w:rsid w:val="00094DD9"/>
    <w:rsid w:val="000A15C0"/>
    <w:rsid w:val="000B463C"/>
    <w:rsid w:val="000C207C"/>
    <w:rsid w:val="000C43CA"/>
    <w:rsid w:val="000D419F"/>
    <w:rsid w:val="000D55FB"/>
    <w:rsid w:val="000D7A6C"/>
    <w:rsid w:val="000E7DAC"/>
    <w:rsid w:val="000F62F0"/>
    <w:rsid w:val="00100D93"/>
    <w:rsid w:val="00101457"/>
    <w:rsid w:val="001100FC"/>
    <w:rsid w:val="00112734"/>
    <w:rsid w:val="00120BD1"/>
    <w:rsid w:val="00132BB0"/>
    <w:rsid w:val="00136662"/>
    <w:rsid w:val="001375AE"/>
    <w:rsid w:val="00147A18"/>
    <w:rsid w:val="0015638F"/>
    <w:rsid w:val="0016028E"/>
    <w:rsid w:val="001602CC"/>
    <w:rsid w:val="00165418"/>
    <w:rsid w:val="0017112A"/>
    <w:rsid w:val="00171D87"/>
    <w:rsid w:val="00180FE4"/>
    <w:rsid w:val="00194A3C"/>
    <w:rsid w:val="00195B5B"/>
    <w:rsid w:val="00196CE8"/>
    <w:rsid w:val="001972AA"/>
    <w:rsid w:val="001A6D18"/>
    <w:rsid w:val="001B06D0"/>
    <w:rsid w:val="001B11C0"/>
    <w:rsid w:val="001B2413"/>
    <w:rsid w:val="001B38EC"/>
    <w:rsid w:val="001B39A5"/>
    <w:rsid w:val="001C3745"/>
    <w:rsid w:val="001E1E91"/>
    <w:rsid w:val="001E2C3E"/>
    <w:rsid w:val="001E69AE"/>
    <w:rsid w:val="001E7857"/>
    <w:rsid w:val="001F043A"/>
    <w:rsid w:val="001F1D5F"/>
    <w:rsid w:val="001F2010"/>
    <w:rsid w:val="001F2BBC"/>
    <w:rsid w:val="001F5A3C"/>
    <w:rsid w:val="001F6407"/>
    <w:rsid w:val="002002F7"/>
    <w:rsid w:val="00202F06"/>
    <w:rsid w:val="002054C3"/>
    <w:rsid w:val="002060A8"/>
    <w:rsid w:val="00212784"/>
    <w:rsid w:val="00217142"/>
    <w:rsid w:val="00217B4D"/>
    <w:rsid w:val="002277BF"/>
    <w:rsid w:val="00230C78"/>
    <w:rsid w:val="00235927"/>
    <w:rsid w:val="00236628"/>
    <w:rsid w:val="00273BE5"/>
    <w:rsid w:val="002844A2"/>
    <w:rsid w:val="00294C8C"/>
    <w:rsid w:val="002A541D"/>
    <w:rsid w:val="002A5AA1"/>
    <w:rsid w:val="002B2943"/>
    <w:rsid w:val="002B3FFF"/>
    <w:rsid w:val="002C0A1B"/>
    <w:rsid w:val="002C39C9"/>
    <w:rsid w:val="002C4398"/>
    <w:rsid w:val="002C4C69"/>
    <w:rsid w:val="002D32DB"/>
    <w:rsid w:val="002E2807"/>
    <w:rsid w:val="002E4507"/>
    <w:rsid w:val="002E768A"/>
    <w:rsid w:val="002F021D"/>
    <w:rsid w:val="002F051F"/>
    <w:rsid w:val="002F47AD"/>
    <w:rsid w:val="002F69FC"/>
    <w:rsid w:val="00300C00"/>
    <w:rsid w:val="00302988"/>
    <w:rsid w:val="003051F5"/>
    <w:rsid w:val="00311895"/>
    <w:rsid w:val="00311F29"/>
    <w:rsid w:val="003122D3"/>
    <w:rsid w:val="00314A72"/>
    <w:rsid w:val="0031574C"/>
    <w:rsid w:val="003215D3"/>
    <w:rsid w:val="00326F77"/>
    <w:rsid w:val="00331A68"/>
    <w:rsid w:val="00342CFA"/>
    <w:rsid w:val="00346A83"/>
    <w:rsid w:val="00356F09"/>
    <w:rsid w:val="0036232C"/>
    <w:rsid w:val="00372CAF"/>
    <w:rsid w:val="0037761F"/>
    <w:rsid w:val="00386629"/>
    <w:rsid w:val="003867D5"/>
    <w:rsid w:val="00386E33"/>
    <w:rsid w:val="00386FFA"/>
    <w:rsid w:val="00387586"/>
    <w:rsid w:val="003A6817"/>
    <w:rsid w:val="003B5684"/>
    <w:rsid w:val="003C6A8A"/>
    <w:rsid w:val="003D22CB"/>
    <w:rsid w:val="003D7EC4"/>
    <w:rsid w:val="003E5BA7"/>
    <w:rsid w:val="003F435F"/>
    <w:rsid w:val="00400D86"/>
    <w:rsid w:val="004155B3"/>
    <w:rsid w:val="004243AF"/>
    <w:rsid w:val="00450021"/>
    <w:rsid w:val="00461FD9"/>
    <w:rsid w:val="004631FF"/>
    <w:rsid w:val="004671D7"/>
    <w:rsid w:val="00470FEA"/>
    <w:rsid w:val="00491F39"/>
    <w:rsid w:val="004A7EE5"/>
    <w:rsid w:val="004B3AB2"/>
    <w:rsid w:val="004B73E0"/>
    <w:rsid w:val="004C2DEC"/>
    <w:rsid w:val="004C5774"/>
    <w:rsid w:val="004C6F66"/>
    <w:rsid w:val="004C7BB6"/>
    <w:rsid w:val="004D021C"/>
    <w:rsid w:val="004D0E96"/>
    <w:rsid w:val="004D6583"/>
    <w:rsid w:val="004E19D2"/>
    <w:rsid w:val="004E1A25"/>
    <w:rsid w:val="004E24EB"/>
    <w:rsid w:val="004F050F"/>
    <w:rsid w:val="004F0A80"/>
    <w:rsid w:val="004F2F26"/>
    <w:rsid w:val="00500EEF"/>
    <w:rsid w:val="0050118F"/>
    <w:rsid w:val="005053A9"/>
    <w:rsid w:val="005069F2"/>
    <w:rsid w:val="005119A5"/>
    <w:rsid w:val="00526521"/>
    <w:rsid w:val="005378DC"/>
    <w:rsid w:val="005407A1"/>
    <w:rsid w:val="005429B3"/>
    <w:rsid w:val="00553476"/>
    <w:rsid w:val="00556A09"/>
    <w:rsid w:val="00563B29"/>
    <w:rsid w:val="0056460F"/>
    <w:rsid w:val="00564E47"/>
    <w:rsid w:val="00565F89"/>
    <w:rsid w:val="005711D9"/>
    <w:rsid w:val="00571325"/>
    <w:rsid w:val="00571FAE"/>
    <w:rsid w:val="00586146"/>
    <w:rsid w:val="005A05D3"/>
    <w:rsid w:val="005B4FBB"/>
    <w:rsid w:val="005C0E93"/>
    <w:rsid w:val="005C1DBF"/>
    <w:rsid w:val="005D2A4F"/>
    <w:rsid w:val="005E340B"/>
    <w:rsid w:val="005F0E03"/>
    <w:rsid w:val="005F39F2"/>
    <w:rsid w:val="005F677F"/>
    <w:rsid w:val="005F68D9"/>
    <w:rsid w:val="005F723E"/>
    <w:rsid w:val="006009F5"/>
    <w:rsid w:val="006064AE"/>
    <w:rsid w:val="00610973"/>
    <w:rsid w:val="0061421D"/>
    <w:rsid w:val="006212B5"/>
    <w:rsid w:val="00633F74"/>
    <w:rsid w:val="006428F2"/>
    <w:rsid w:val="00645174"/>
    <w:rsid w:val="00647CD1"/>
    <w:rsid w:val="00652123"/>
    <w:rsid w:val="00670E56"/>
    <w:rsid w:val="00676507"/>
    <w:rsid w:val="00676775"/>
    <w:rsid w:val="006769E8"/>
    <w:rsid w:val="006851D3"/>
    <w:rsid w:val="0068541A"/>
    <w:rsid w:val="006863D1"/>
    <w:rsid w:val="00695330"/>
    <w:rsid w:val="006A314C"/>
    <w:rsid w:val="006A7EE9"/>
    <w:rsid w:val="006B1BC7"/>
    <w:rsid w:val="006B47B4"/>
    <w:rsid w:val="006C22A7"/>
    <w:rsid w:val="006C2830"/>
    <w:rsid w:val="006C4118"/>
    <w:rsid w:val="006C5597"/>
    <w:rsid w:val="006C68A3"/>
    <w:rsid w:val="006D581E"/>
    <w:rsid w:val="006D6C5C"/>
    <w:rsid w:val="006E6F76"/>
    <w:rsid w:val="006F341C"/>
    <w:rsid w:val="006F3F0A"/>
    <w:rsid w:val="00707AAB"/>
    <w:rsid w:val="0071671E"/>
    <w:rsid w:val="0073072E"/>
    <w:rsid w:val="0073480E"/>
    <w:rsid w:val="00734E58"/>
    <w:rsid w:val="007415B4"/>
    <w:rsid w:val="00745BF3"/>
    <w:rsid w:val="0076048D"/>
    <w:rsid w:val="007658C6"/>
    <w:rsid w:val="00783693"/>
    <w:rsid w:val="00785E3F"/>
    <w:rsid w:val="007979BB"/>
    <w:rsid w:val="00797BC7"/>
    <w:rsid w:val="007A2F35"/>
    <w:rsid w:val="007A7934"/>
    <w:rsid w:val="007C1BA5"/>
    <w:rsid w:val="007C327B"/>
    <w:rsid w:val="007C7270"/>
    <w:rsid w:val="007D77A4"/>
    <w:rsid w:val="007E23BB"/>
    <w:rsid w:val="007E4144"/>
    <w:rsid w:val="007F04EB"/>
    <w:rsid w:val="007F1957"/>
    <w:rsid w:val="007F1CBA"/>
    <w:rsid w:val="007F69AA"/>
    <w:rsid w:val="00804AD2"/>
    <w:rsid w:val="00817E49"/>
    <w:rsid w:val="0083232E"/>
    <w:rsid w:val="008324A8"/>
    <w:rsid w:val="00840CA9"/>
    <w:rsid w:val="00840FA4"/>
    <w:rsid w:val="0086016D"/>
    <w:rsid w:val="00861C12"/>
    <w:rsid w:val="00866F8F"/>
    <w:rsid w:val="00875DE9"/>
    <w:rsid w:val="00880F3D"/>
    <w:rsid w:val="00890B59"/>
    <w:rsid w:val="008960DF"/>
    <w:rsid w:val="008A7F9D"/>
    <w:rsid w:val="008B2315"/>
    <w:rsid w:val="008B6D07"/>
    <w:rsid w:val="008B7E10"/>
    <w:rsid w:val="008C5C06"/>
    <w:rsid w:val="008D2D10"/>
    <w:rsid w:val="008D39CC"/>
    <w:rsid w:val="008D3C94"/>
    <w:rsid w:val="008E01F0"/>
    <w:rsid w:val="008E54A3"/>
    <w:rsid w:val="009004AC"/>
    <w:rsid w:val="00901509"/>
    <w:rsid w:val="0090599D"/>
    <w:rsid w:val="00910A59"/>
    <w:rsid w:val="009212A2"/>
    <w:rsid w:val="00922AB4"/>
    <w:rsid w:val="009231B5"/>
    <w:rsid w:val="009232BB"/>
    <w:rsid w:val="00923EC0"/>
    <w:rsid w:val="00930C03"/>
    <w:rsid w:val="009325E1"/>
    <w:rsid w:val="00943459"/>
    <w:rsid w:val="00944272"/>
    <w:rsid w:val="00954A76"/>
    <w:rsid w:val="009574FA"/>
    <w:rsid w:val="00965408"/>
    <w:rsid w:val="0098005F"/>
    <w:rsid w:val="00981ACB"/>
    <w:rsid w:val="00991256"/>
    <w:rsid w:val="00994A7C"/>
    <w:rsid w:val="00995AE8"/>
    <w:rsid w:val="009977C9"/>
    <w:rsid w:val="009A11EB"/>
    <w:rsid w:val="009A264E"/>
    <w:rsid w:val="009A324B"/>
    <w:rsid w:val="009C0E60"/>
    <w:rsid w:val="009C6B45"/>
    <w:rsid w:val="009D1175"/>
    <w:rsid w:val="009D3F7B"/>
    <w:rsid w:val="009D6A79"/>
    <w:rsid w:val="009E4263"/>
    <w:rsid w:val="009F206D"/>
    <w:rsid w:val="009F50C5"/>
    <w:rsid w:val="009F5DD2"/>
    <w:rsid w:val="00A0194B"/>
    <w:rsid w:val="00A20478"/>
    <w:rsid w:val="00A25DE6"/>
    <w:rsid w:val="00A306F1"/>
    <w:rsid w:val="00A313FB"/>
    <w:rsid w:val="00A33066"/>
    <w:rsid w:val="00A33522"/>
    <w:rsid w:val="00A425AC"/>
    <w:rsid w:val="00A45EE0"/>
    <w:rsid w:val="00A5134F"/>
    <w:rsid w:val="00A52A00"/>
    <w:rsid w:val="00A73865"/>
    <w:rsid w:val="00A74919"/>
    <w:rsid w:val="00A77900"/>
    <w:rsid w:val="00A81522"/>
    <w:rsid w:val="00A91F4D"/>
    <w:rsid w:val="00A93695"/>
    <w:rsid w:val="00A94E4C"/>
    <w:rsid w:val="00A962F5"/>
    <w:rsid w:val="00AA02DD"/>
    <w:rsid w:val="00AA1E55"/>
    <w:rsid w:val="00AA2937"/>
    <w:rsid w:val="00AA6D75"/>
    <w:rsid w:val="00AB556C"/>
    <w:rsid w:val="00AB5BCA"/>
    <w:rsid w:val="00AB7B2E"/>
    <w:rsid w:val="00AC0270"/>
    <w:rsid w:val="00AC2CD5"/>
    <w:rsid w:val="00AC2D99"/>
    <w:rsid w:val="00AC6C65"/>
    <w:rsid w:val="00AD42C0"/>
    <w:rsid w:val="00AE10B2"/>
    <w:rsid w:val="00AF5905"/>
    <w:rsid w:val="00B01206"/>
    <w:rsid w:val="00B05F9A"/>
    <w:rsid w:val="00B254B8"/>
    <w:rsid w:val="00B275DA"/>
    <w:rsid w:val="00B370E7"/>
    <w:rsid w:val="00B4408A"/>
    <w:rsid w:val="00B44B5E"/>
    <w:rsid w:val="00B53C35"/>
    <w:rsid w:val="00B61BAD"/>
    <w:rsid w:val="00B630DE"/>
    <w:rsid w:val="00B66179"/>
    <w:rsid w:val="00B715F1"/>
    <w:rsid w:val="00B71E61"/>
    <w:rsid w:val="00B72C53"/>
    <w:rsid w:val="00B77032"/>
    <w:rsid w:val="00B81B78"/>
    <w:rsid w:val="00B878CF"/>
    <w:rsid w:val="00B9633E"/>
    <w:rsid w:val="00B97941"/>
    <w:rsid w:val="00BA4724"/>
    <w:rsid w:val="00BB174E"/>
    <w:rsid w:val="00BB2487"/>
    <w:rsid w:val="00BB45C2"/>
    <w:rsid w:val="00BB60EB"/>
    <w:rsid w:val="00BC0238"/>
    <w:rsid w:val="00BC0979"/>
    <w:rsid w:val="00BD04A9"/>
    <w:rsid w:val="00BD1DC8"/>
    <w:rsid w:val="00BD2B72"/>
    <w:rsid w:val="00BD630D"/>
    <w:rsid w:val="00BF7CBA"/>
    <w:rsid w:val="00C0140D"/>
    <w:rsid w:val="00C021E1"/>
    <w:rsid w:val="00C0340F"/>
    <w:rsid w:val="00C06116"/>
    <w:rsid w:val="00C07AE9"/>
    <w:rsid w:val="00C07CBA"/>
    <w:rsid w:val="00C07EB8"/>
    <w:rsid w:val="00C114C9"/>
    <w:rsid w:val="00C20AB4"/>
    <w:rsid w:val="00C21EF1"/>
    <w:rsid w:val="00C23DDB"/>
    <w:rsid w:val="00C2447A"/>
    <w:rsid w:val="00C276AE"/>
    <w:rsid w:val="00C35145"/>
    <w:rsid w:val="00C4174F"/>
    <w:rsid w:val="00C465DB"/>
    <w:rsid w:val="00C51934"/>
    <w:rsid w:val="00C530C9"/>
    <w:rsid w:val="00C6198E"/>
    <w:rsid w:val="00C81262"/>
    <w:rsid w:val="00C85423"/>
    <w:rsid w:val="00C873CB"/>
    <w:rsid w:val="00C94D07"/>
    <w:rsid w:val="00CA0425"/>
    <w:rsid w:val="00CB58D4"/>
    <w:rsid w:val="00CD02B1"/>
    <w:rsid w:val="00CD12D1"/>
    <w:rsid w:val="00CD17B5"/>
    <w:rsid w:val="00CD4650"/>
    <w:rsid w:val="00CE3170"/>
    <w:rsid w:val="00CE3473"/>
    <w:rsid w:val="00CF2E88"/>
    <w:rsid w:val="00CF77C4"/>
    <w:rsid w:val="00D0036F"/>
    <w:rsid w:val="00D10C70"/>
    <w:rsid w:val="00D1511D"/>
    <w:rsid w:val="00D15A93"/>
    <w:rsid w:val="00D15F11"/>
    <w:rsid w:val="00D20EE8"/>
    <w:rsid w:val="00D33933"/>
    <w:rsid w:val="00D348DD"/>
    <w:rsid w:val="00D37340"/>
    <w:rsid w:val="00D47E1D"/>
    <w:rsid w:val="00D519BF"/>
    <w:rsid w:val="00D523A1"/>
    <w:rsid w:val="00D55307"/>
    <w:rsid w:val="00D62B60"/>
    <w:rsid w:val="00D64422"/>
    <w:rsid w:val="00D74FD9"/>
    <w:rsid w:val="00D8170D"/>
    <w:rsid w:val="00D82146"/>
    <w:rsid w:val="00D87A29"/>
    <w:rsid w:val="00D93729"/>
    <w:rsid w:val="00D97430"/>
    <w:rsid w:val="00DA28EF"/>
    <w:rsid w:val="00DA69BF"/>
    <w:rsid w:val="00DB0754"/>
    <w:rsid w:val="00DB29A2"/>
    <w:rsid w:val="00DC6531"/>
    <w:rsid w:val="00DD5A1D"/>
    <w:rsid w:val="00DE17C1"/>
    <w:rsid w:val="00DE673F"/>
    <w:rsid w:val="00DE6E61"/>
    <w:rsid w:val="00DF05AA"/>
    <w:rsid w:val="00DF3D8F"/>
    <w:rsid w:val="00E03344"/>
    <w:rsid w:val="00E1289B"/>
    <w:rsid w:val="00E2045E"/>
    <w:rsid w:val="00E244DC"/>
    <w:rsid w:val="00E25AC0"/>
    <w:rsid w:val="00E357BA"/>
    <w:rsid w:val="00E455B4"/>
    <w:rsid w:val="00E630B4"/>
    <w:rsid w:val="00E72DA4"/>
    <w:rsid w:val="00E77597"/>
    <w:rsid w:val="00E834C6"/>
    <w:rsid w:val="00E846D4"/>
    <w:rsid w:val="00E853EC"/>
    <w:rsid w:val="00E86445"/>
    <w:rsid w:val="00E9068F"/>
    <w:rsid w:val="00E958B6"/>
    <w:rsid w:val="00EA68A8"/>
    <w:rsid w:val="00EA6946"/>
    <w:rsid w:val="00ED57E4"/>
    <w:rsid w:val="00EE38A0"/>
    <w:rsid w:val="00EE557F"/>
    <w:rsid w:val="00EE7395"/>
    <w:rsid w:val="00EE797E"/>
    <w:rsid w:val="00F0147F"/>
    <w:rsid w:val="00F02B7D"/>
    <w:rsid w:val="00F04561"/>
    <w:rsid w:val="00F11085"/>
    <w:rsid w:val="00F1167F"/>
    <w:rsid w:val="00F13744"/>
    <w:rsid w:val="00F3481F"/>
    <w:rsid w:val="00F35F54"/>
    <w:rsid w:val="00F40385"/>
    <w:rsid w:val="00F40610"/>
    <w:rsid w:val="00F4506A"/>
    <w:rsid w:val="00F45583"/>
    <w:rsid w:val="00F5111C"/>
    <w:rsid w:val="00F52366"/>
    <w:rsid w:val="00F60079"/>
    <w:rsid w:val="00F60B58"/>
    <w:rsid w:val="00F67973"/>
    <w:rsid w:val="00F813CD"/>
    <w:rsid w:val="00F84097"/>
    <w:rsid w:val="00F85E2C"/>
    <w:rsid w:val="00F914D7"/>
    <w:rsid w:val="00F9546A"/>
    <w:rsid w:val="00F97643"/>
    <w:rsid w:val="00FA3882"/>
    <w:rsid w:val="00FB7AAA"/>
    <w:rsid w:val="00FC11C1"/>
    <w:rsid w:val="00FD09FD"/>
    <w:rsid w:val="00FD6FA3"/>
    <w:rsid w:val="00FE1A8F"/>
    <w:rsid w:val="00FE3D46"/>
    <w:rsid w:val="00FE4D53"/>
    <w:rsid w:val="00FF4F39"/>
    <w:rsid w:val="00FF5B7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FD78"/>
  <w15:chartTrackingRefBased/>
  <w15:docId w15:val="{69C71CDF-0B46-4E43-882A-FEA7DC1C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5E"/>
  </w:style>
  <w:style w:type="paragraph" w:customStyle="1" w:styleId="center">
    <w:name w:val="center"/>
    <w:basedOn w:val="a"/>
    <w:uiPriority w:val="99"/>
    <w:semiHidden/>
    <w:rsid w:val="00E2045E"/>
    <w:pPr>
      <w:spacing w:before="100" w:beforeAutospacing="1" w:after="100" w:afterAutospacing="1"/>
    </w:pPr>
  </w:style>
  <w:style w:type="character" w:styleId="a4">
    <w:name w:val="Strong"/>
    <w:basedOn w:val="a0"/>
    <w:qFormat/>
    <w:rsid w:val="00E2045E"/>
    <w:rPr>
      <w:b/>
      <w:bCs/>
    </w:rPr>
  </w:style>
  <w:style w:type="table" w:styleId="a5">
    <w:name w:val="Table Grid"/>
    <w:basedOn w:val="a1"/>
    <w:uiPriority w:val="39"/>
    <w:rsid w:val="00B7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330"/>
    <w:rPr>
      <w:color w:val="0563C1" w:themeColor="hyperlink"/>
      <w:u w:val="single"/>
    </w:rPr>
  </w:style>
  <w:style w:type="character" w:styleId="a7">
    <w:name w:val="FollowedHyperlink"/>
    <w:basedOn w:val="a0"/>
    <w:uiPriority w:val="99"/>
    <w:semiHidden/>
    <w:unhideWhenUsed/>
    <w:rsid w:val="00F914D7"/>
    <w:rPr>
      <w:color w:val="954F72" w:themeColor="followedHyperlink"/>
      <w:u w:val="single"/>
    </w:rPr>
  </w:style>
  <w:style w:type="paragraph" w:customStyle="1" w:styleId="msonormal0">
    <w:name w:val="msonormal"/>
    <w:basedOn w:val="a"/>
    <w:uiPriority w:val="99"/>
    <w:semiHidden/>
    <w:rsid w:val="00F914D7"/>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
    <w:link w:val="a8"/>
    <w:semiHidden/>
    <w:locked/>
    <w:rsid w:val="00F914D7"/>
    <w:rPr>
      <w:rFonts w:ascii="Courier New" w:hAnsi="Courier New" w:cs="Courier New"/>
    </w:rPr>
  </w:style>
  <w:style w:type="paragraph" w:styleId="a8">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1"/>
    <w:semiHidden/>
    <w:unhideWhenUsed/>
    <w:rsid w:val="00F914D7"/>
    <w:rPr>
      <w:rFonts w:ascii="Courier New" w:eastAsiaTheme="minorHAnsi" w:hAnsi="Courier New" w:cs="Courier New"/>
      <w:sz w:val="22"/>
      <w:szCs w:val="22"/>
      <w:lang w:val="ru-MD" w:eastAsia="en-US"/>
    </w:rPr>
  </w:style>
  <w:style w:type="character" w:customStyle="1" w:styleId="a9">
    <w:name w:val="Текст Знак"/>
    <w:aliases w:val="Знак Знак1,Текст Знак1 Знак Знак1,Текст Знак 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Зна Знак1"/>
    <w:basedOn w:val="a0"/>
    <w:uiPriority w:val="99"/>
    <w:semiHidden/>
    <w:rsid w:val="00F914D7"/>
    <w:rPr>
      <w:rFonts w:ascii="Consolas" w:eastAsia="Times New Roman" w:hAnsi="Consolas" w:cs="Times New Roman"/>
      <w:sz w:val="21"/>
      <w:szCs w:val="21"/>
      <w:lang w:val="ru-RU" w:eastAsia="ru-RU"/>
    </w:rPr>
  </w:style>
  <w:style w:type="paragraph" w:styleId="aa">
    <w:name w:val="List Paragraph"/>
    <w:basedOn w:val="a"/>
    <w:uiPriority w:val="34"/>
    <w:qFormat/>
    <w:rsid w:val="00F914D7"/>
    <w:pPr>
      <w:ind w:left="720"/>
      <w:contextualSpacing/>
    </w:pPr>
  </w:style>
  <w:style w:type="character" w:styleId="ab">
    <w:name w:val="annotation reference"/>
    <w:basedOn w:val="a0"/>
    <w:uiPriority w:val="99"/>
    <w:semiHidden/>
    <w:unhideWhenUsed/>
    <w:rsid w:val="00563B29"/>
    <w:rPr>
      <w:sz w:val="16"/>
      <w:szCs w:val="16"/>
    </w:rPr>
  </w:style>
  <w:style w:type="paragraph" w:styleId="ac">
    <w:name w:val="annotation text"/>
    <w:basedOn w:val="a"/>
    <w:link w:val="ad"/>
    <w:uiPriority w:val="99"/>
    <w:semiHidden/>
    <w:unhideWhenUsed/>
    <w:rsid w:val="00563B29"/>
    <w:rPr>
      <w:sz w:val="20"/>
      <w:szCs w:val="20"/>
    </w:rPr>
  </w:style>
  <w:style w:type="character" w:customStyle="1" w:styleId="ad">
    <w:name w:val="Текст примечания Знак"/>
    <w:basedOn w:val="a0"/>
    <w:link w:val="ac"/>
    <w:uiPriority w:val="99"/>
    <w:semiHidden/>
    <w:rsid w:val="00563B2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563B29"/>
    <w:rPr>
      <w:b/>
      <w:bCs/>
    </w:rPr>
  </w:style>
  <w:style w:type="character" w:customStyle="1" w:styleId="af">
    <w:name w:val="Тема примечания Знак"/>
    <w:basedOn w:val="ad"/>
    <w:link w:val="ae"/>
    <w:uiPriority w:val="99"/>
    <w:semiHidden/>
    <w:rsid w:val="00563B2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563B29"/>
    <w:rPr>
      <w:rFonts w:ascii="Segoe UI" w:hAnsi="Segoe UI" w:cs="Segoe UI"/>
      <w:sz w:val="18"/>
      <w:szCs w:val="18"/>
    </w:rPr>
  </w:style>
  <w:style w:type="character" w:customStyle="1" w:styleId="af1">
    <w:name w:val="Текст выноски Знак"/>
    <w:basedOn w:val="a0"/>
    <w:link w:val="af0"/>
    <w:uiPriority w:val="99"/>
    <w:semiHidden/>
    <w:rsid w:val="00563B29"/>
    <w:rPr>
      <w:rFonts w:ascii="Segoe UI" w:eastAsia="Times New Roman" w:hAnsi="Segoe UI" w:cs="Segoe UI"/>
      <w:sz w:val="18"/>
      <w:szCs w:val="18"/>
      <w:lang w:val="ru-RU" w:eastAsia="ru-RU"/>
    </w:rPr>
  </w:style>
  <w:style w:type="paragraph" w:styleId="af2">
    <w:name w:val="header"/>
    <w:basedOn w:val="a"/>
    <w:link w:val="af3"/>
    <w:uiPriority w:val="99"/>
    <w:unhideWhenUsed/>
    <w:rsid w:val="00A25DE6"/>
    <w:pPr>
      <w:tabs>
        <w:tab w:val="center" w:pos="4677"/>
        <w:tab w:val="right" w:pos="9355"/>
      </w:tabs>
    </w:pPr>
  </w:style>
  <w:style w:type="character" w:customStyle="1" w:styleId="af3">
    <w:name w:val="Верхний колонтитул Знак"/>
    <w:basedOn w:val="a0"/>
    <w:link w:val="af2"/>
    <w:uiPriority w:val="99"/>
    <w:rsid w:val="00A25DE6"/>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25DE6"/>
    <w:pPr>
      <w:tabs>
        <w:tab w:val="center" w:pos="4677"/>
        <w:tab w:val="right" w:pos="9355"/>
      </w:tabs>
    </w:pPr>
  </w:style>
  <w:style w:type="character" w:customStyle="1" w:styleId="af5">
    <w:name w:val="Нижний колонтитул Знак"/>
    <w:basedOn w:val="a0"/>
    <w:link w:val="af4"/>
    <w:uiPriority w:val="99"/>
    <w:rsid w:val="00A25DE6"/>
    <w:rPr>
      <w:rFonts w:ascii="Times New Roman" w:eastAsia="Times New Roman" w:hAnsi="Times New Roman" w:cs="Times New Roman"/>
      <w:sz w:val="24"/>
      <w:szCs w:val="24"/>
      <w:lang w:val="ru-RU" w:eastAsia="ru-RU"/>
    </w:rPr>
  </w:style>
  <w:style w:type="paragraph" w:styleId="af6">
    <w:name w:val="No Spacing"/>
    <w:uiPriority w:val="1"/>
    <w:qFormat/>
    <w:rsid w:val="00B275DA"/>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4489">
      <w:bodyDiv w:val="1"/>
      <w:marLeft w:val="0"/>
      <w:marRight w:val="0"/>
      <w:marTop w:val="0"/>
      <w:marBottom w:val="0"/>
      <w:divBdr>
        <w:top w:val="none" w:sz="0" w:space="0" w:color="auto"/>
        <w:left w:val="none" w:sz="0" w:space="0" w:color="auto"/>
        <w:bottom w:val="none" w:sz="0" w:space="0" w:color="auto"/>
        <w:right w:val="none" w:sz="0" w:space="0" w:color="auto"/>
      </w:divBdr>
    </w:div>
    <w:div w:id="382364244">
      <w:bodyDiv w:val="1"/>
      <w:marLeft w:val="0"/>
      <w:marRight w:val="0"/>
      <w:marTop w:val="0"/>
      <w:marBottom w:val="0"/>
      <w:divBdr>
        <w:top w:val="none" w:sz="0" w:space="0" w:color="auto"/>
        <w:left w:val="none" w:sz="0" w:space="0" w:color="auto"/>
        <w:bottom w:val="none" w:sz="0" w:space="0" w:color="auto"/>
        <w:right w:val="none" w:sz="0" w:space="0" w:color="auto"/>
      </w:divBdr>
    </w:div>
    <w:div w:id="533153390">
      <w:bodyDiv w:val="1"/>
      <w:marLeft w:val="0"/>
      <w:marRight w:val="0"/>
      <w:marTop w:val="0"/>
      <w:marBottom w:val="0"/>
      <w:divBdr>
        <w:top w:val="none" w:sz="0" w:space="0" w:color="auto"/>
        <w:left w:val="none" w:sz="0" w:space="0" w:color="auto"/>
        <w:bottom w:val="none" w:sz="0" w:space="0" w:color="auto"/>
        <w:right w:val="none" w:sz="0" w:space="0" w:color="auto"/>
      </w:divBdr>
    </w:div>
    <w:div w:id="567427093">
      <w:bodyDiv w:val="1"/>
      <w:marLeft w:val="0"/>
      <w:marRight w:val="0"/>
      <w:marTop w:val="0"/>
      <w:marBottom w:val="0"/>
      <w:divBdr>
        <w:top w:val="none" w:sz="0" w:space="0" w:color="auto"/>
        <w:left w:val="none" w:sz="0" w:space="0" w:color="auto"/>
        <w:bottom w:val="none" w:sz="0" w:space="0" w:color="auto"/>
        <w:right w:val="none" w:sz="0" w:space="0" w:color="auto"/>
      </w:divBdr>
    </w:div>
    <w:div w:id="590355610">
      <w:bodyDiv w:val="1"/>
      <w:marLeft w:val="0"/>
      <w:marRight w:val="0"/>
      <w:marTop w:val="0"/>
      <w:marBottom w:val="0"/>
      <w:divBdr>
        <w:top w:val="none" w:sz="0" w:space="0" w:color="auto"/>
        <w:left w:val="none" w:sz="0" w:space="0" w:color="auto"/>
        <w:bottom w:val="none" w:sz="0" w:space="0" w:color="auto"/>
        <w:right w:val="none" w:sz="0" w:space="0" w:color="auto"/>
      </w:divBdr>
    </w:div>
    <w:div w:id="871914866">
      <w:bodyDiv w:val="1"/>
      <w:marLeft w:val="0"/>
      <w:marRight w:val="0"/>
      <w:marTop w:val="0"/>
      <w:marBottom w:val="0"/>
      <w:divBdr>
        <w:top w:val="none" w:sz="0" w:space="0" w:color="auto"/>
        <w:left w:val="none" w:sz="0" w:space="0" w:color="auto"/>
        <w:bottom w:val="none" w:sz="0" w:space="0" w:color="auto"/>
        <w:right w:val="none" w:sz="0" w:space="0" w:color="auto"/>
      </w:divBdr>
    </w:div>
    <w:div w:id="1235310958">
      <w:bodyDiv w:val="1"/>
      <w:marLeft w:val="0"/>
      <w:marRight w:val="0"/>
      <w:marTop w:val="0"/>
      <w:marBottom w:val="0"/>
      <w:divBdr>
        <w:top w:val="none" w:sz="0" w:space="0" w:color="auto"/>
        <w:left w:val="none" w:sz="0" w:space="0" w:color="auto"/>
        <w:bottom w:val="none" w:sz="0" w:space="0" w:color="auto"/>
        <w:right w:val="none" w:sz="0" w:space="0" w:color="auto"/>
      </w:divBdr>
    </w:div>
    <w:div w:id="1282767642">
      <w:bodyDiv w:val="1"/>
      <w:marLeft w:val="0"/>
      <w:marRight w:val="0"/>
      <w:marTop w:val="0"/>
      <w:marBottom w:val="0"/>
      <w:divBdr>
        <w:top w:val="none" w:sz="0" w:space="0" w:color="auto"/>
        <w:left w:val="none" w:sz="0" w:space="0" w:color="auto"/>
        <w:bottom w:val="none" w:sz="0" w:space="0" w:color="auto"/>
        <w:right w:val="none" w:sz="0" w:space="0" w:color="auto"/>
      </w:divBdr>
    </w:div>
    <w:div w:id="1296256094">
      <w:bodyDiv w:val="1"/>
      <w:marLeft w:val="0"/>
      <w:marRight w:val="0"/>
      <w:marTop w:val="0"/>
      <w:marBottom w:val="0"/>
      <w:divBdr>
        <w:top w:val="none" w:sz="0" w:space="0" w:color="auto"/>
        <w:left w:val="none" w:sz="0" w:space="0" w:color="auto"/>
        <w:bottom w:val="none" w:sz="0" w:space="0" w:color="auto"/>
        <w:right w:val="none" w:sz="0" w:space="0" w:color="auto"/>
      </w:divBdr>
    </w:div>
    <w:div w:id="1337267905">
      <w:bodyDiv w:val="1"/>
      <w:marLeft w:val="0"/>
      <w:marRight w:val="0"/>
      <w:marTop w:val="0"/>
      <w:marBottom w:val="0"/>
      <w:divBdr>
        <w:top w:val="none" w:sz="0" w:space="0" w:color="auto"/>
        <w:left w:val="none" w:sz="0" w:space="0" w:color="auto"/>
        <w:bottom w:val="none" w:sz="0" w:space="0" w:color="auto"/>
        <w:right w:val="none" w:sz="0" w:space="0" w:color="auto"/>
      </w:divBdr>
    </w:div>
    <w:div w:id="1579368388">
      <w:bodyDiv w:val="1"/>
      <w:marLeft w:val="0"/>
      <w:marRight w:val="0"/>
      <w:marTop w:val="0"/>
      <w:marBottom w:val="0"/>
      <w:divBdr>
        <w:top w:val="none" w:sz="0" w:space="0" w:color="auto"/>
        <w:left w:val="none" w:sz="0" w:space="0" w:color="auto"/>
        <w:bottom w:val="none" w:sz="0" w:space="0" w:color="auto"/>
        <w:right w:val="none" w:sz="0" w:space="0" w:color="auto"/>
      </w:divBdr>
    </w:div>
    <w:div w:id="1686707294">
      <w:bodyDiv w:val="1"/>
      <w:marLeft w:val="0"/>
      <w:marRight w:val="0"/>
      <w:marTop w:val="0"/>
      <w:marBottom w:val="0"/>
      <w:divBdr>
        <w:top w:val="none" w:sz="0" w:space="0" w:color="auto"/>
        <w:left w:val="none" w:sz="0" w:space="0" w:color="auto"/>
        <w:bottom w:val="none" w:sz="0" w:space="0" w:color="auto"/>
        <w:right w:val="none" w:sz="0" w:space="0" w:color="auto"/>
      </w:divBdr>
    </w:div>
    <w:div w:id="1918241853">
      <w:bodyDiv w:val="1"/>
      <w:marLeft w:val="0"/>
      <w:marRight w:val="0"/>
      <w:marTop w:val="0"/>
      <w:marBottom w:val="0"/>
      <w:divBdr>
        <w:top w:val="none" w:sz="0" w:space="0" w:color="auto"/>
        <w:left w:val="none" w:sz="0" w:space="0" w:color="auto"/>
        <w:bottom w:val="none" w:sz="0" w:space="0" w:color="auto"/>
        <w:right w:val="none" w:sz="0" w:space="0" w:color="auto"/>
      </w:divBdr>
    </w:div>
    <w:div w:id="21032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7FDE-C1FB-4519-8D6E-5856A37D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Гончар Елена Дмитриевна</cp:lastModifiedBy>
  <cp:revision>394</cp:revision>
  <cp:lastPrinted>2025-08-27T07:26:00Z</cp:lastPrinted>
  <dcterms:created xsi:type="dcterms:W3CDTF">2025-06-10T10:54:00Z</dcterms:created>
  <dcterms:modified xsi:type="dcterms:W3CDTF">2025-09-05T10:31:00Z</dcterms:modified>
</cp:coreProperties>
</file>