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08" w:rsidRDefault="001C5D08" w:rsidP="005F4D88">
      <w:pPr>
        <w:spacing w:after="0" w:line="240" w:lineRule="auto"/>
        <w:jc w:val="both"/>
        <w:rPr>
          <w:rFonts w:ascii="Times New Roman" w:eastAsia="Calibri" w:hAnsi="Times New Roman" w:cs="Times New Roman"/>
          <w:b/>
          <w:sz w:val="24"/>
          <w:szCs w:val="24"/>
        </w:rPr>
      </w:pPr>
    </w:p>
    <w:p w:rsidR="00834BE0" w:rsidRPr="005F4766" w:rsidRDefault="00834BE0" w:rsidP="00834BE0">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834BE0" w:rsidRPr="005F4766" w:rsidRDefault="00834BE0" w:rsidP="004C319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834BE0" w:rsidRPr="005F4766" w:rsidRDefault="004C319B" w:rsidP="004C319B">
      <w:pPr>
        <w:spacing w:after="0" w:line="240" w:lineRule="auto"/>
        <w:jc w:val="center"/>
        <w:rPr>
          <w:rFonts w:ascii="Times New Roman" w:eastAsia="Calibri" w:hAnsi="Times New Roman" w:cs="Times New Roman"/>
          <w:b/>
          <w:sz w:val="24"/>
          <w:szCs w:val="24"/>
        </w:rPr>
      </w:pPr>
      <w:r w:rsidRPr="004C319B">
        <w:rPr>
          <w:rFonts w:ascii="Times New Roman" w:eastAsia="Calibri" w:hAnsi="Times New Roman" w:cs="Times New Roman"/>
          <w:b/>
          <w:sz w:val="24"/>
          <w:szCs w:val="24"/>
        </w:rPr>
        <w:t>«О внесении изменения и дополнения в Закон Приднестровской Молдавской Республики «Об актах гражданского состояния»</w:t>
      </w:r>
    </w:p>
    <w:tbl>
      <w:tblPr>
        <w:tblStyle w:val="6"/>
        <w:tblW w:w="0" w:type="auto"/>
        <w:tblLook w:val="04A0" w:firstRow="1" w:lastRow="0" w:firstColumn="1" w:lastColumn="0" w:noHBand="0" w:noVBand="1"/>
      </w:tblPr>
      <w:tblGrid>
        <w:gridCol w:w="4671"/>
        <w:gridCol w:w="4674"/>
      </w:tblGrid>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2261FB" w:rsidRPr="005F4766" w:rsidTr="002261FB">
        <w:trPr>
          <w:trHeight w:val="321"/>
        </w:trPr>
        <w:tc>
          <w:tcPr>
            <w:tcW w:w="4671" w:type="dxa"/>
          </w:tcPr>
          <w:p w:rsidR="004C319B" w:rsidRPr="004C319B" w:rsidRDefault="004C319B" w:rsidP="004C319B">
            <w:pPr>
              <w:pStyle w:val="ad"/>
              <w:ind w:firstLine="720"/>
              <w:outlineLvl w:val="0"/>
              <w:rPr>
                <w:rFonts w:ascii="Times New Roman" w:hAnsi="Times New Roman" w:cs="Times New Roman"/>
                <w:sz w:val="24"/>
                <w:szCs w:val="24"/>
              </w:rPr>
            </w:pPr>
            <w:r w:rsidRPr="004C319B">
              <w:rPr>
                <w:rFonts w:ascii="Times New Roman" w:hAnsi="Times New Roman" w:cs="Times New Roman"/>
                <w:sz w:val="24"/>
                <w:szCs w:val="24"/>
              </w:rPr>
              <w:t>ГЛАВА 12. ПОРЯДОК И СРОКИ ХРАНЕНИЯ КНИГ ГОСУДАРСТВЕННОЙ РЕГИСТРАЦИИ АКТОВ ГРАЖДАНСКОГО СОСТОЯНИЯ (АКТОВЫХ КНИГ)</w:t>
            </w:r>
          </w:p>
          <w:p w:rsidR="002261FB" w:rsidRPr="00325E43" w:rsidRDefault="004C319B" w:rsidP="00325E43">
            <w:pPr>
              <w:pStyle w:val="ad"/>
              <w:ind w:firstLine="709"/>
              <w:rPr>
                <w:rFonts w:ascii="Times New Roman" w:hAnsi="Times New Roman" w:cs="Times New Roman"/>
                <w:sz w:val="24"/>
                <w:szCs w:val="28"/>
              </w:rPr>
            </w:pPr>
            <w:r w:rsidRPr="004C319B">
              <w:rPr>
                <w:rFonts w:ascii="Times New Roman" w:hAnsi="Times New Roman" w:cs="Times New Roman"/>
                <w:sz w:val="24"/>
                <w:szCs w:val="24"/>
              </w:rPr>
              <w:t>…</w:t>
            </w:r>
          </w:p>
        </w:tc>
        <w:tc>
          <w:tcPr>
            <w:tcW w:w="4674" w:type="dxa"/>
          </w:tcPr>
          <w:p w:rsidR="004C319B" w:rsidRPr="004C319B" w:rsidRDefault="004C319B" w:rsidP="004C319B">
            <w:pPr>
              <w:pStyle w:val="ad"/>
              <w:ind w:firstLine="720"/>
              <w:outlineLvl w:val="0"/>
              <w:rPr>
                <w:rFonts w:ascii="Times New Roman" w:hAnsi="Times New Roman" w:cs="Times New Roman"/>
                <w:sz w:val="24"/>
                <w:szCs w:val="24"/>
              </w:rPr>
            </w:pPr>
            <w:r w:rsidRPr="004C319B">
              <w:rPr>
                <w:rFonts w:ascii="Times New Roman" w:hAnsi="Times New Roman" w:cs="Times New Roman"/>
                <w:sz w:val="24"/>
                <w:szCs w:val="24"/>
              </w:rPr>
              <w:t xml:space="preserve">ГЛАВА 12. ПОРЯДОК И СРОКИ ХРАНЕНИЯ КНИГ ГОСУДАРСТВЕННОЙ РЕГИСТРАЦИИ АКТОВ ГРАЖДАНСКОГО СОСТОЯНИЯ (АКТОВЫХ КНИГ) </w:t>
            </w:r>
            <w:r w:rsidRPr="004C319B">
              <w:rPr>
                <w:rFonts w:ascii="Times New Roman" w:hAnsi="Times New Roman" w:cs="Times New Roman"/>
                <w:b/>
                <w:sz w:val="24"/>
                <w:szCs w:val="24"/>
              </w:rPr>
              <w:t>И ИХ ПЕРЕВОДА В ЭЛЕКТРОННУЮ ФОРМУ</w:t>
            </w:r>
          </w:p>
          <w:p w:rsidR="002261FB" w:rsidRPr="004C319B" w:rsidRDefault="004C319B" w:rsidP="004C319B">
            <w:pPr>
              <w:spacing w:line="240" w:lineRule="auto"/>
              <w:ind w:firstLine="709"/>
              <w:rPr>
                <w:rFonts w:ascii="Times New Roman" w:hAnsi="Times New Roman" w:cs="Times New Roman"/>
                <w:sz w:val="24"/>
                <w:szCs w:val="24"/>
              </w:rPr>
            </w:pPr>
            <w:r w:rsidRPr="004C319B">
              <w:rPr>
                <w:rFonts w:ascii="Times New Roman" w:hAnsi="Times New Roman" w:cs="Times New Roman"/>
                <w:sz w:val="24"/>
                <w:szCs w:val="24"/>
              </w:rPr>
              <w:t>…</w:t>
            </w:r>
          </w:p>
        </w:tc>
      </w:tr>
      <w:tr w:rsidR="00325E43" w:rsidRPr="005F4766" w:rsidTr="002261FB">
        <w:trPr>
          <w:trHeight w:val="321"/>
        </w:trPr>
        <w:tc>
          <w:tcPr>
            <w:tcW w:w="4671" w:type="dxa"/>
          </w:tcPr>
          <w:p w:rsidR="00325E43" w:rsidRPr="004C319B" w:rsidRDefault="004C319B" w:rsidP="00325E43">
            <w:pPr>
              <w:pStyle w:val="ad"/>
              <w:ind w:firstLine="720"/>
              <w:rPr>
                <w:rFonts w:ascii="Times New Roman" w:hAnsi="Times New Roman" w:cs="Times New Roman"/>
                <w:b/>
                <w:sz w:val="24"/>
                <w:szCs w:val="24"/>
              </w:rPr>
            </w:pPr>
            <w:r w:rsidRPr="004C319B">
              <w:rPr>
                <w:rFonts w:ascii="Times New Roman" w:hAnsi="Times New Roman" w:cs="Times New Roman"/>
                <w:b/>
                <w:sz w:val="24"/>
                <w:szCs w:val="24"/>
              </w:rPr>
              <w:t>отсутствует</w:t>
            </w:r>
          </w:p>
        </w:tc>
        <w:tc>
          <w:tcPr>
            <w:tcW w:w="4674" w:type="dxa"/>
          </w:tcPr>
          <w:p w:rsidR="004C319B" w:rsidRPr="004C319B" w:rsidRDefault="004C319B" w:rsidP="004C319B">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t>Статья 93-1. Перевод в электронную форму книг государственной регистрации актов гражданского состояния (актовых книг)</w:t>
            </w:r>
          </w:p>
          <w:p w:rsidR="004C319B" w:rsidRPr="004C319B" w:rsidRDefault="004C319B" w:rsidP="004C319B">
            <w:pPr>
              <w:spacing w:line="240" w:lineRule="auto"/>
              <w:ind w:firstLine="709"/>
              <w:rPr>
                <w:rFonts w:ascii="Times New Roman" w:hAnsi="Times New Roman" w:cs="Times New Roman"/>
                <w:b/>
                <w:sz w:val="24"/>
                <w:szCs w:val="28"/>
              </w:rPr>
            </w:pPr>
          </w:p>
          <w:p w:rsidR="004C319B" w:rsidRPr="004C319B" w:rsidRDefault="004C319B" w:rsidP="004C319B">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4C319B" w:rsidRPr="004C319B" w:rsidRDefault="004C319B" w:rsidP="004C319B">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t>2. Запись акта гражданского состояния, конвертированная (преобразованная) в форму электронного документа, составляется на русском языке. Перечень сведений, включаемых в запись акта гражданского состояния, конвертируемую (преобразуемую) в форму электронного документа, определяется Правительством Приднестровской Молдавской Республики.</w:t>
            </w:r>
          </w:p>
          <w:p w:rsidR="004C319B" w:rsidRPr="004C319B" w:rsidRDefault="004C319B" w:rsidP="004C319B">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4C319B" w:rsidRPr="004C319B" w:rsidRDefault="004C319B" w:rsidP="004C319B">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lastRenderedPageBreak/>
              <w:t>4. Запись акта гражданского состояния, конвертированная (преобразованная) в форму электронного документа, хранится в соответствующих реестрах данных об актах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Приднестровской Молдавской Республики.</w:t>
            </w:r>
          </w:p>
          <w:p w:rsidR="00325E43" w:rsidRPr="00325E43" w:rsidRDefault="004C319B" w:rsidP="00953D63">
            <w:pPr>
              <w:spacing w:line="240" w:lineRule="auto"/>
              <w:ind w:firstLine="709"/>
              <w:rPr>
                <w:rFonts w:ascii="Times New Roman" w:hAnsi="Times New Roman" w:cs="Times New Roman"/>
                <w:b/>
                <w:sz w:val="24"/>
                <w:szCs w:val="28"/>
              </w:rPr>
            </w:pPr>
            <w:r w:rsidRPr="004C319B">
              <w:rPr>
                <w:rFonts w:ascii="Times New Roman" w:hAnsi="Times New Roman" w:cs="Times New Roman"/>
                <w:b/>
                <w:sz w:val="24"/>
                <w:szCs w:val="28"/>
              </w:rPr>
              <w:t>5. Требования к форматам сведений, вносимых в запись акта гражданского состояния, конвертируемую (преобразуемую) в форму электронного документа, и порядок представления и использования указанных сведений в целях формирования и ведения соответствующих реестров данных об актах гражданского состояния утверждаются исполнительным</w:t>
            </w:r>
            <w:r w:rsidR="00953D63">
              <w:rPr>
                <w:rFonts w:ascii="Times New Roman" w:hAnsi="Times New Roman" w:cs="Times New Roman"/>
                <w:b/>
                <w:sz w:val="24"/>
                <w:szCs w:val="28"/>
              </w:rPr>
              <w:t xml:space="preserve"> органом государственной власти</w:t>
            </w:r>
            <w:bookmarkStart w:id="0" w:name="_GoBack"/>
            <w:bookmarkEnd w:id="0"/>
            <w:r w:rsidRPr="004C319B">
              <w:rPr>
                <w:rFonts w:ascii="Times New Roman" w:hAnsi="Times New Roman" w:cs="Times New Roman"/>
                <w:b/>
                <w:sz w:val="24"/>
                <w:szCs w:val="28"/>
              </w:rPr>
              <w:t>,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tc>
      </w:tr>
    </w:tbl>
    <w:p w:rsidR="00325E43" w:rsidRDefault="00325E43" w:rsidP="002261FB">
      <w:pPr>
        <w:pStyle w:val="ad"/>
        <w:jc w:val="both"/>
        <w:rPr>
          <w:rFonts w:ascii="Times New Roman" w:hAnsi="Times New Roman" w:cs="Times New Roman"/>
          <w:sz w:val="24"/>
          <w:szCs w:val="24"/>
        </w:rPr>
      </w:pPr>
    </w:p>
    <w:sectPr w:rsidR="00325E4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25E43"/>
    <w:rsid w:val="00356D19"/>
    <w:rsid w:val="003B30EB"/>
    <w:rsid w:val="004308CE"/>
    <w:rsid w:val="00467F84"/>
    <w:rsid w:val="004C319B"/>
    <w:rsid w:val="004C4B57"/>
    <w:rsid w:val="004C6E75"/>
    <w:rsid w:val="004E03D6"/>
    <w:rsid w:val="00502D21"/>
    <w:rsid w:val="00546D95"/>
    <w:rsid w:val="00555F81"/>
    <w:rsid w:val="00573F30"/>
    <w:rsid w:val="00587D34"/>
    <w:rsid w:val="005B6C1C"/>
    <w:rsid w:val="005F4766"/>
    <w:rsid w:val="005F4D88"/>
    <w:rsid w:val="0060140F"/>
    <w:rsid w:val="006022CC"/>
    <w:rsid w:val="0061577D"/>
    <w:rsid w:val="006256B4"/>
    <w:rsid w:val="00692127"/>
    <w:rsid w:val="006A37BD"/>
    <w:rsid w:val="006D0359"/>
    <w:rsid w:val="006F3749"/>
    <w:rsid w:val="007521F8"/>
    <w:rsid w:val="007E751E"/>
    <w:rsid w:val="00834BE0"/>
    <w:rsid w:val="00853A18"/>
    <w:rsid w:val="008805D6"/>
    <w:rsid w:val="00884A14"/>
    <w:rsid w:val="008B61E1"/>
    <w:rsid w:val="00953D63"/>
    <w:rsid w:val="00973BB2"/>
    <w:rsid w:val="009B782D"/>
    <w:rsid w:val="00A23BB5"/>
    <w:rsid w:val="00A33C6C"/>
    <w:rsid w:val="00A63215"/>
    <w:rsid w:val="00B07E46"/>
    <w:rsid w:val="00B61F49"/>
    <w:rsid w:val="00B749FC"/>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80F8C"/>
    <w:rsid w:val="00EC6E2B"/>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CF0"/>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 Знак Знак1 Знак Знак,Текст Знак1 Знак Знак Знак Знак Знак"/>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FE9D-34A9-4A46-A26C-C0FB45B8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3</cp:revision>
  <cp:lastPrinted>2023-09-13T12:16:00Z</cp:lastPrinted>
  <dcterms:created xsi:type="dcterms:W3CDTF">2025-09-03T09:33:00Z</dcterms:created>
  <dcterms:modified xsi:type="dcterms:W3CDTF">2025-09-03T11:23:00Z</dcterms:modified>
</cp:coreProperties>
</file>