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A8D" w:rsidRPr="00D1367C" w:rsidRDefault="00233A8D" w:rsidP="00D1367C">
      <w:pPr>
        <w:pStyle w:val="a9"/>
        <w:jc w:val="both"/>
        <w:rPr>
          <w:rFonts w:ascii="Times New Roman" w:hAnsi="Times New Roman" w:cs="Times New Roman"/>
          <w:sz w:val="24"/>
          <w:szCs w:val="24"/>
        </w:rPr>
      </w:pPr>
      <w:bookmarkStart w:id="0" w:name="_GoBack"/>
      <w:bookmarkEnd w:id="0"/>
      <w:r w:rsidRPr="00D1367C">
        <w:rPr>
          <w:rFonts w:ascii="Times New Roman" w:hAnsi="Times New Roman" w:cs="Times New Roman"/>
          <w:sz w:val="24"/>
          <w:szCs w:val="24"/>
        </w:rPr>
        <w:t>Сравнительная таблица</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к проекту закона Приднестровской Молдавской Республики</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«О внесении дополнения в Закон Приднестровской Молдавской Республики</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«О едином социальном налоге и обязательном страховом взносе»</w:t>
      </w:r>
    </w:p>
    <w:p w:rsidR="00233A8D" w:rsidRPr="00D1367C" w:rsidRDefault="00233A8D" w:rsidP="00D1367C">
      <w:pPr>
        <w:pStyle w:val="a9"/>
        <w:jc w:val="both"/>
        <w:rPr>
          <w:rFonts w:ascii="Times New Roman" w:hAnsi="Times New Roman" w:cs="Times New Roman"/>
          <w:sz w:val="24"/>
          <w:szCs w:val="24"/>
        </w:rPr>
      </w:pPr>
    </w:p>
    <w:tbl>
      <w:tblPr>
        <w:tblStyle w:val="a7"/>
        <w:tblW w:w="9918" w:type="dxa"/>
        <w:tblLook w:val="04A0" w:firstRow="1" w:lastRow="0" w:firstColumn="1" w:lastColumn="0" w:noHBand="0" w:noVBand="1"/>
      </w:tblPr>
      <w:tblGrid>
        <w:gridCol w:w="3256"/>
        <w:gridCol w:w="6662"/>
      </w:tblGrid>
      <w:tr w:rsidR="00233A8D" w:rsidRPr="00D1367C" w:rsidTr="000E3255">
        <w:tc>
          <w:tcPr>
            <w:tcW w:w="3256" w:type="dxa"/>
          </w:tcPr>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Действующая редакция</w:t>
            </w:r>
          </w:p>
        </w:tc>
        <w:tc>
          <w:tcPr>
            <w:tcW w:w="6662" w:type="dxa"/>
          </w:tcPr>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Предлагаемая редакция</w:t>
            </w:r>
          </w:p>
        </w:tc>
      </w:tr>
      <w:tr w:rsidR="00233A8D" w:rsidRPr="00D1367C" w:rsidTr="000E3255">
        <w:tc>
          <w:tcPr>
            <w:tcW w:w="3256" w:type="dxa"/>
          </w:tcPr>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Статья 11. Переходные положения</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Пункт 13 отсутствует</w:t>
            </w:r>
            <w:r w:rsidR="000E3255" w:rsidRPr="00D1367C">
              <w:rPr>
                <w:rFonts w:ascii="Times New Roman" w:hAnsi="Times New Roman" w:cs="Times New Roman"/>
                <w:sz w:val="24"/>
                <w:szCs w:val="24"/>
              </w:rPr>
              <w:t>.</w:t>
            </w:r>
          </w:p>
        </w:tc>
        <w:tc>
          <w:tcPr>
            <w:tcW w:w="6662" w:type="dxa"/>
          </w:tcPr>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Статья 11. Переходные положения</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 xml:space="preserve">13. Предоставить право юридическим лицам, производящим выплаты работникам и иным физическим лицам, в порядке, определенном настоящим Законом, при исчислении единого социального налога за период с 1 января 2026 года по 31 декабря 2026 года применять льготу в виде </w:t>
            </w:r>
            <w:proofErr w:type="spellStart"/>
            <w:r w:rsidRPr="00D1367C">
              <w:rPr>
                <w:rFonts w:ascii="Times New Roman" w:hAnsi="Times New Roman" w:cs="Times New Roman"/>
                <w:sz w:val="24"/>
                <w:szCs w:val="24"/>
              </w:rPr>
              <w:t>невключения</w:t>
            </w:r>
            <w:proofErr w:type="spellEnd"/>
            <w:r w:rsidRPr="00D1367C">
              <w:rPr>
                <w:rFonts w:ascii="Times New Roman" w:hAnsi="Times New Roman" w:cs="Times New Roman"/>
                <w:sz w:val="24"/>
                <w:szCs w:val="24"/>
              </w:rPr>
              <w:t xml:space="preserve"> в состав выплат, подлежащих налогообложению, суммы прироста налогооблагаемой базы в отчетном месяце по отношению к налогооблагаемой базе в аналогичном месяце 2023 года, скорректированной на коэффициент изменения численности работников.</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В целях применения настоящего пункта:</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а) под налогооблагаемой базой понимается сумма выплат и иных вознаграждений в денежной, натуральной и иной формах, являющихся объектом налогообложения единым социальным налогом, уменьшенная на суммы, не подлежащие налогообложению единым социальным налогом в соответствии со статьями 5 и 6 настоящего Закона;</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б) коэффициент изменения численности работников рассчитывается как отношение среднесписочной численности работников отчетного месяца к среднесписочной численности работников аналогичного месяца 2023 года.</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Предусмотренная настоящим пунктом льгота по единому социальному налогу не подлежит применению при наличии одного из следующих условий:</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а) в случае изменения (увеличения либо уменьшения) среднесписочной численности работников отчетного месяца по отношению к среднесписочной численности работников аналогичного месяца 2023 года более чем на 10 процентов;</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б) налогоплательщик является организацией, финансируемой за счет средств бюджетов различных уровней, государственным (муниципальным) унитарным предприятием, организацией, включенной в регистр субъектов естественных монополий в соответствии с законодательством Приднестровской Молдавской Республики.</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Предусмотренная настоящим пунктом льгота по единому социальному налогу не подлежит применению в отношении выплат, облагаемых по ставке, установленной пунктом 23 статьи 7 настоящего Закона.</w:t>
            </w:r>
          </w:p>
          <w:p w:rsidR="00233A8D" w:rsidRPr="00D1367C" w:rsidRDefault="00233A8D" w:rsidP="00D1367C">
            <w:pPr>
              <w:pStyle w:val="a9"/>
              <w:jc w:val="both"/>
              <w:rPr>
                <w:rFonts w:ascii="Times New Roman" w:hAnsi="Times New Roman" w:cs="Times New Roman"/>
                <w:sz w:val="24"/>
                <w:szCs w:val="24"/>
              </w:rPr>
            </w:pPr>
            <w:r w:rsidRPr="00D1367C">
              <w:rPr>
                <w:rFonts w:ascii="Times New Roman" w:hAnsi="Times New Roman" w:cs="Times New Roman"/>
                <w:sz w:val="24"/>
                <w:szCs w:val="24"/>
              </w:rPr>
              <w:t>Порядок исчисления единого социального налога, требования и критерии применения условий, предусмотренные настоящим пунктом, устанавливаются исполнительным органом государственной власти, в компетенции которого находятся вопросы организации и обеспечения сбора налогов и иных обязательных платежей.</w:t>
            </w:r>
          </w:p>
        </w:tc>
      </w:tr>
    </w:tbl>
    <w:p w:rsidR="00233A8D" w:rsidRPr="00D1367C" w:rsidRDefault="00233A8D" w:rsidP="00D1367C">
      <w:pPr>
        <w:pStyle w:val="a9"/>
        <w:jc w:val="both"/>
        <w:rPr>
          <w:rFonts w:ascii="Times New Roman" w:hAnsi="Times New Roman" w:cs="Times New Roman"/>
          <w:sz w:val="24"/>
          <w:szCs w:val="24"/>
        </w:rPr>
      </w:pPr>
    </w:p>
    <w:p w:rsidR="007B6A44" w:rsidRPr="00D1367C" w:rsidRDefault="007B6A44" w:rsidP="00D1367C">
      <w:pPr>
        <w:pStyle w:val="a9"/>
        <w:jc w:val="both"/>
        <w:rPr>
          <w:rFonts w:ascii="Times New Roman" w:hAnsi="Times New Roman" w:cs="Times New Roman"/>
          <w:sz w:val="24"/>
          <w:szCs w:val="24"/>
        </w:rPr>
      </w:pPr>
    </w:p>
    <w:sectPr w:rsidR="007B6A44" w:rsidRPr="00D1367C" w:rsidSect="00D1367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6F22"/>
    <w:multiLevelType w:val="hybridMultilevel"/>
    <w:tmpl w:val="AEAA5D2C"/>
    <w:lvl w:ilvl="0" w:tplc="CF3608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6C622D9"/>
    <w:multiLevelType w:val="hybridMultilevel"/>
    <w:tmpl w:val="60343866"/>
    <w:lvl w:ilvl="0" w:tplc="D0EC6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8D"/>
    <w:rsid w:val="000C0A6B"/>
    <w:rsid w:val="000E3255"/>
    <w:rsid w:val="00170C6F"/>
    <w:rsid w:val="00233A8D"/>
    <w:rsid w:val="007B6A44"/>
    <w:rsid w:val="008F2258"/>
    <w:rsid w:val="00B811E8"/>
    <w:rsid w:val="00D1367C"/>
    <w:rsid w:val="00DA2253"/>
    <w:rsid w:val="00FC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664B"/>
  <w15:chartTrackingRefBased/>
  <w15:docId w15:val="{3DD054B4-E5C6-4C8B-9C35-148AD35F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A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3A8D"/>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233A8D"/>
    <w:rPr>
      <w:rFonts w:ascii="Times New Roman" w:eastAsia="Times New Roman" w:hAnsi="Times New Roman" w:cs="Times New Roman"/>
      <w:sz w:val="24"/>
      <w:szCs w:val="20"/>
      <w:lang w:eastAsia="ru-RU"/>
    </w:rPr>
  </w:style>
  <w:style w:type="character" w:customStyle="1" w:styleId="4">
    <w:name w:val="Основной текст (4)_"/>
    <w:link w:val="41"/>
    <w:rsid w:val="00233A8D"/>
    <w:rPr>
      <w:rFonts w:ascii="Calibri" w:eastAsia="Calibri" w:hAnsi="Calibri" w:cs="Times New Roman"/>
      <w:sz w:val="26"/>
      <w:szCs w:val="26"/>
      <w:shd w:val="clear" w:color="auto" w:fill="FFFFFF"/>
    </w:rPr>
  </w:style>
  <w:style w:type="paragraph" w:customStyle="1" w:styleId="41">
    <w:name w:val="Основной текст (4)1"/>
    <w:basedOn w:val="a"/>
    <w:link w:val="4"/>
    <w:rsid w:val="00233A8D"/>
    <w:pPr>
      <w:shd w:val="clear" w:color="auto" w:fill="FFFFFF"/>
      <w:spacing w:before="720" w:after="360" w:line="240" w:lineRule="atLeast"/>
    </w:pPr>
    <w:rPr>
      <w:rFonts w:ascii="Calibri" w:eastAsia="Calibri" w:hAnsi="Calibri" w:cs="Times New Roman"/>
      <w:sz w:val="26"/>
      <w:szCs w:val="26"/>
      <w:lang w:eastAsia="en-US"/>
    </w:r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a6"/>
    <w:uiPriority w:val="99"/>
    <w:rsid w:val="00233A8D"/>
    <w:pPr>
      <w:spacing w:after="0" w:line="240" w:lineRule="auto"/>
    </w:pPr>
    <w:rPr>
      <w:rFonts w:ascii="Courier New" w:eastAsia="Times New Roman" w:hAnsi="Courier New" w:cs="Times New Roman"/>
      <w:sz w:val="20"/>
      <w:szCs w:val="20"/>
    </w:rPr>
  </w:style>
  <w:style w:type="character" w:customStyle="1" w:styleId="a6">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5"/>
    <w:uiPriority w:val="99"/>
    <w:rsid w:val="00233A8D"/>
    <w:rPr>
      <w:rFonts w:ascii="Courier New" w:eastAsia="Times New Roman" w:hAnsi="Courier New" w:cs="Times New Roman"/>
      <w:sz w:val="20"/>
      <w:szCs w:val="20"/>
      <w:lang w:eastAsia="ru-RU"/>
    </w:rPr>
  </w:style>
  <w:style w:type="table" w:styleId="a7">
    <w:name w:val="Table Grid"/>
    <w:basedOn w:val="a1"/>
    <w:uiPriority w:val="59"/>
    <w:rsid w:val="00233A8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a0"/>
    <w:rsid w:val="00233A8D"/>
  </w:style>
  <w:style w:type="paragraph" w:styleId="a8">
    <w:name w:val="List Paragraph"/>
    <w:basedOn w:val="a"/>
    <w:uiPriority w:val="34"/>
    <w:qFormat/>
    <w:rsid w:val="00233A8D"/>
    <w:pPr>
      <w:spacing w:after="0" w:line="240" w:lineRule="auto"/>
      <w:ind w:left="720"/>
      <w:contextualSpacing/>
    </w:pPr>
    <w:rPr>
      <w:rFonts w:ascii="Times New Roman" w:eastAsia="Times New Roman" w:hAnsi="Times New Roman" w:cs="Times New Roman"/>
      <w:sz w:val="24"/>
      <w:szCs w:val="24"/>
    </w:rPr>
  </w:style>
  <w:style w:type="paragraph" w:styleId="a9">
    <w:name w:val="No Spacing"/>
    <w:uiPriority w:val="1"/>
    <w:qFormat/>
    <w:rsid w:val="00D1367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7B4C-BA3D-48CC-BD6E-D33DBCFE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Гончар Елена Дмитриевна</cp:lastModifiedBy>
  <cp:revision>6</cp:revision>
  <dcterms:created xsi:type="dcterms:W3CDTF">2025-11-12T07:15:00Z</dcterms:created>
  <dcterms:modified xsi:type="dcterms:W3CDTF">2025-11-14T11:54:00Z</dcterms:modified>
</cp:coreProperties>
</file>