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75D1A" w14:textId="77777777" w:rsidR="008E5044" w:rsidRPr="008E5044" w:rsidRDefault="008E5044" w:rsidP="008E5044">
      <w:pPr>
        <w:pStyle w:val="ad"/>
        <w:jc w:val="both"/>
      </w:pPr>
      <w:bookmarkStart w:id="0" w:name="_GoBack"/>
      <w:bookmarkEnd w:id="0"/>
    </w:p>
    <w:p w14:paraId="36BDD25E" w14:textId="24FDAB59" w:rsidR="004959FC" w:rsidRPr="008E5044" w:rsidRDefault="004959FC" w:rsidP="008E5044">
      <w:pPr>
        <w:pStyle w:val="ad"/>
        <w:jc w:val="both"/>
      </w:pPr>
      <w:bookmarkStart w:id="1" w:name="_Hlk188611309"/>
      <w:r w:rsidRPr="008E5044">
        <w:t>СРАВНИТЕЛЬНАЯ ТАБЛИЦА</w:t>
      </w:r>
    </w:p>
    <w:p w14:paraId="2109EC49" w14:textId="77777777" w:rsidR="00767B07" w:rsidRPr="008E5044" w:rsidRDefault="004959FC" w:rsidP="008E5044">
      <w:pPr>
        <w:pStyle w:val="ad"/>
        <w:jc w:val="both"/>
      </w:pPr>
      <w:r w:rsidRPr="008E5044">
        <w:t>к проекту закона</w:t>
      </w:r>
      <w:r w:rsidR="00C31E52" w:rsidRPr="008E5044">
        <w:t xml:space="preserve"> </w:t>
      </w:r>
      <w:r w:rsidRPr="008E5044">
        <w:t>Приднестровской Молдавской Республики</w:t>
      </w:r>
      <w:r w:rsidR="00673DE8" w:rsidRPr="008E5044">
        <w:t xml:space="preserve"> </w:t>
      </w:r>
    </w:p>
    <w:p w14:paraId="0EA3A2EC" w14:textId="03925D17" w:rsidR="00F5220C" w:rsidRPr="008E5044" w:rsidRDefault="004959FC" w:rsidP="008E5044">
      <w:pPr>
        <w:pStyle w:val="ad"/>
        <w:jc w:val="both"/>
      </w:pPr>
      <w:r w:rsidRPr="008E5044">
        <w:t>«О внесении дополнени</w:t>
      </w:r>
      <w:r w:rsidR="008A52E0" w:rsidRPr="008E5044">
        <w:t>й</w:t>
      </w:r>
      <w:r w:rsidRPr="008E5044">
        <w:t xml:space="preserve"> в Закон Приднестровской Молдавской Республики </w:t>
      </w:r>
    </w:p>
    <w:p w14:paraId="2B3C35B8" w14:textId="48CA296A" w:rsidR="004959FC" w:rsidRPr="008E5044" w:rsidRDefault="004959FC" w:rsidP="008E5044">
      <w:pPr>
        <w:pStyle w:val="ad"/>
        <w:jc w:val="both"/>
      </w:pPr>
      <w:r w:rsidRPr="008E5044">
        <w:t>«</w:t>
      </w:r>
      <w:r w:rsidR="00F5220C" w:rsidRPr="008E5044">
        <w:t>О дополнительных мерах, направленных на стабилизацию экономики Приднестровской Молдавской Республики</w:t>
      </w:r>
      <w:r w:rsidRPr="008E5044">
        <w:t>»</w:t>
      </w:r>
    </w:p>
    <w:bookmarkEnd w:id="1"/>
    <w:p w14:paraId="3FE597F4" w14:textId="77777777" w:rsidR="004959FC" w:rsidRPr="008E5044" w:rsidRDefault="004959FC" w:rsidP="008E5044">
      <w:pPr>
        <w:pStyle w:val="ad"/>
        <w:jc w:val="both"/>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5103"/>
      </w:tblGrid>
      <w:tr w:rsidR="00DC049F" w:rsidRPr="008E5044" w14:paraId="24247D38" w14:textId="77777777" w:rsidTr="00673DE8">
        <w:tc>
          <w:tcPr>
            <w:tcW w:w="5104" w:type="dxa"/>
            <w:tcBorders>
              <w:top w:val="single" w:sz="4" w:space="0" w:color="000000"/>
              <w:left w:val="single" w:sz="4" w:space="0" w:color="000000"/>
              <w:bottom w:val="single" w:sz="4" w:space="0" w:color="000000"/>
              <w:right w:val="single" w:sz="4" w:space="0" w:color="000000"/>
            </w:tcBorders>
            <w:hideMark/>
          </w:tcPr>
          <w:p w14:paraId="660349C0" w14:textId="77777777" w:rsidR="004959FC" w:rsidRPr="008E5044" w:rsidRDefault="004959FC" w:rsidP="008E5044">
            <w:pPr>
              <w:pStyle w:val="ad"/>
              <w:jc w:val="both"/>
            </w:pPr>
            <w:r w:rsidRPr="008E5044">
              <w:t>Действующая редакция</w:t>
            </w:r>
          </w:p>
        </w:tc>
        <w:tc>
          <w:tcPr>
            <w:tcW w:w="5103" w:type="dxa"/>
            <w:tcBorders>
              <w:top w:val="single" w:sz="4" w:space="0" w:color="000000"/>
              <w:left w:val="single" w:sz="4" w:space="0" w:color="000000"/>
              <w:bottom w:val="single" w:sz="4" w:space="0" w:color="000000"/>
              <w:right w:val="single" w:sz="4" w:space="0" w:color="000000"/>
            </w:tcBorders>
            <w:hideMark/>
          </w:tcPr>
          <w:p w14:paraId="273129FC" w14:textId="77777777" w:rsidR="004959FC" w:rsidRPr="008E5044" w:rsidRDefault="004959FC" w:rsidP="008E5044">
            <w:pPr>
              <w:pStyle w:val="ad"/>
              <w:jc w:val="both"/>
            </w:pPr>
            <w:r w:rsidRPr="008E5044">
              <w:t>Предлагаемая редакция</w:t>
            </w:r>
          </w:p>
        </w:tc>
      </w:tr>
      <w:tr w:rsidR="00DC049F" w:rsidRPr="008E5044" w14:paraId="37655CA3" w14:textId="77777777" w:rsidTr="00673DE8">
        <w:tc>
          <w:tcPr>
            <w:tcW w:w="5104" w:type="dxa"/>
            <w:tcBorders>
              <w:top w:val="single" w:sz="4" w:space="0" w:color="000000"/>
              <w:left w:val="single" w:sz="4" w:space="0" w:color="000000"/>
              <w:bottom w:val="single" w:sz="4" w:space="0" w:color="000000"/>
              <w:right w:val="single" w:sz="4" w:space="0" w:color="000000"/>
            </w:tcBorders>
          </w:tcPr>
          <w:p w14:paraId="24719709" w14:textId="34BC04E5" w:rsidR="001B7688" w:rsidRPr="008E5044" w:rsidRDefault="00F5220C" w:rsidP="008E5044">
            <w:pPr>
              <w:pStyle w:val="ad"/>
              <w:jc w:val="both"/>
            </w:pPr>
            <w:r w:rsidRPr="008E5044">
              <w:t>Статья 9-1</w:t>
            </w:r>
            <w:r w:rsidR="00CD4868" w:rsidRPr="008E5044">
              <w:t>5</w:t>
            </w:r>
            <w:r w:rsidR="001B7688" w:rsidRPr="008E5044">
              <w:t>.</w:t>
            </w:r>
            <w:r w:rsidR="000233D6" w:rsidRPr="008E5044">
              <w:t xml:space="preserve"> </w:t>
            </w:r>
          </w:p>
          <w:p w14:paraId="48C8818B" w14:textId="2AF56C4F" w:rsidR="004959FC" w:rsidRPr="008E5044" w:rsidRDefault="001B7688" w:rsidP="008E5044">
            <w:pPr>
              <w:pStyle w:val="ad"/>
              <w:jc w:val="both"/>
            </w:pPr>
            <w:r w:rsidRPr="008E5044">
              <w:t>О</w:t>
            </w:r>
            <w:r w:rsidR="00EB25CB" w:rsidRPr="008E5044">
              <w:t>тсутствует</w:t>
            </w:r>
            <w:r w:rsidR="00533FDE" w:rsidRPr="008E5044">
              <w:t>.</w:t>
            </w:r>
          </w:p>
          <w:p w14:paraId="4F1E8A10" w14:textId="77777777" w:rsidR="004959FC" w:rsidRPr="008E5044" w:rsidRDefault="004959FC" w:rsidP="008E5044">
            <w:pPr>
              <w:pStyle w:val="ad"/>
              <w:jc w:val="both"/>
            </w:pPr>
          </w:p>
        </w:tc>
        <w:tc>
          <w:tcPr>
            <w:tcW w:w="5103" w:type="dxa"/>
            <w:tcBorders>
              <w:top w:val="single" w:sz="4" w:space="0" w:color="000000"/>
              <w:left w:val="single" w:sz="4" w:space="0" w:color="000000"/>
              <w:bottom w:val="single" w:sz="4" w:space="0" w:color="000000"/>
              <w:right w:val="single" w:sz="4" w:space="0" w:color="000000"/>
            </w:tcBorders>
          </w:tcPr>
          <w:p w14:paraId="724B81A0" w14:textId="5E7DB07F" w:rsidR="00A368BC" w:rsidRPr="008E5044" w:rsidRDefault="00A72F67" w:rsidP="008E5044">
            <w:pPr>
              <w:pStyle w:val="ad"/>
              <w:jc w:val="both"/>
            </w:pPr>
            <w:r w:rsidRPr="008E5044">
              <w:t>Статья 9-1</w:t>
            </w:r>
            <w:r w:rsidR="00CD4868" w:rsidRPr="008E5044">
              <w:t>5</w:t>
            </w:r>
            <w:r w:rsidRPr="008E5044">
              <w:t xml:space="preserve">. </w:t>
            </w:r>
          </w:p>
          <w:p w14:paraId="55B8BF6D" w14:textId="508542D4" w:rsidR="00A368BC" w:rsidRPr="008E5044" w:rsidRDefault="00A368BC" w:rsidP="008E5044">
            <w:pPr>
              <w:pStyle w:val="ad"/>
              <w:jc w:val="both"/>
            </w:pPr>
            <w:r w:rsidRPr="008E5044">
              <w:t xml:space="preserve">Во изменение норм </w:t>
            </w:r>
            <w:r w:rsidR="00DB69C1" w:rsidRPr="008E5044">
              <w:t xml:space="preserve">законодательства </w:t>
            </w:r>
            <w:r w:rsidRPr="008E5044">
              <w:t>Приднестровской Молдавской Республики установить, что оставшаяся после удовлетворения требований кредиторов акционерного общества, находящегося в стадии ликвидации, 100</w:t>
            </w:r>
            <w:r w:rsidR="001B7688" w:rsidRPr="008E5044">
              <w:t xml:space="preserve"> процентов</w:t>
            </w:r>
            <w:r w:rsidRPr="008E5044">
              <w:t xml:space="preserve"> акций которого принадлежит Приднестровской Молдавской Республике, дебиторская задолженность, числящаяся на балансе данного акционерного общества, может быть передана исключительно в пользу акционерного общества, 100</w:t>
            </w:r>
            <w:r w:rsidR="001B7688" w:rsidRPr="008E5044">
              <w:t xml:space="preserve"> процентов</w:t>
            </w:r>
            <w:r w:rsidRPr="008E5044">
              <w:t xml:space="preserve"> акций которого принадлежит Приднестровской Молдавской Республике, путем заключения договора (уступки требования). </w:t>
            </w:r>
          </w:p>
          <w:p w14:paraId="6F525C0A" w14:textId="77777777" w:rsidR="00C21F20" w:rsidRPr="008E5044" w:rsidRDefault="00A368BC" w:rsidP="008E5044">
            <w:pPr>
              <w:pStyle w:val="ad"/>
              <w:jc w:val="both"/>
            </w:pPr>
            <w:r w:rsidRPr="008E5044">
              <w:t>Акционерное общество, в пользу которого уступлено требование, указанное в части первой настоящего пункта, обязано перечислить в республиканский бюджет денежные средства, полученные от взыскания дебиторской задолженности, в полном объеме.</w:t>
            </w:r>
          </w:p>
          <w:p w14:paraId="6671D0D5" w14:textId="744B630B" w:rsidR="00F80BC3" w:rsidRPr="008E5044" w:rsidRDefault="00F80BC3" w:rsidP="008E5044">
            <w:pPr>
              <w:pStyle w:val="ad"/>
              <w:jc w:val="both"/>
            </w:pPr>
            <w:r w:rsidRPr="008E5044">
              <w:t>Акционерное общество, 100</w:t>
            </w:r>
            <w:r w:rsidR="001B7688" w:rsidRPr="008E5044">
              <w:t xml:space="preserve"> процентов</w:t>
            </w:r>
            <w:r w:rsidRPr="008E5044">
              <w:t xml:space="preserve"> акций которого принадлежит Приднестровской Молдавской Республике, которому передана дебиторская задолженность, числившаяся на балансе акционерного общества, находящегося в стадии ликвидации, 100</w:t>
            </w:r>
            <w:r w:rsidR="001B7688" w:rsidRPr="008E5044">
              <w:t xml:space="preserve"> процентов</w:t>
            </w:r>
            <w:r w:rsidRPr="008E5044">
              <w:t xml:space="preserve"> акций которого принадлежит Приднестровской Молдавской Республике, освобождается от уплаты налога на доходы организаций и налога на содержание жилищного фонда, объектов социально-культурной сферы и благоустройство территории города (района) в отношении объекта налогообложения в виде вышеуказанной переданной дебиторской задолженности</w:t>
            </w:r>
            <w:r w:rsidR="001B7688" w:rsidRPr="008E5044">
              <w:t>.</w:t>
            </w:r>
          </w:p>
        </w:tc>
      </w:tr>
      <w:tr w:rsidR="00DC049F" w:rsidRPr="008E5044" w14:paraId="76CEABC6" w14:textId="77777777" w:rsidTr="00673DE8">
        <w:tc>
          <w:tcPr>
            <w:tcW w:w="5104" w:type="dxa"/>
            <w:tcBorders>
              <w:top w:val="single" w:sz="4" w:space="0" w:color="000000"/>
              <w:left w:val="single" w:sz="4" w:space="0" w:color="000000"/>
              <w:bottom w:val="single" w:sz="4" w:space="0" w:color="000000"/>
              <w:right w:val="single" w:sz="4" w:space="0" w:color="000000"/>
            </w:tcBorders>
          </w:tcPr>
          <w:p w14:paraId="469FAA36" w14:textId="1ADEECBB" w:rsidR="004959FC" w:rsidRPr="008E5044" w:rsidRDefault="004959FC" w:rsidP="008E5044">
            <w:pPr>
              <w:pStyle w:val="ad"/>
              <w:jc w:val="both"/>
            </w:pPr>
            <w:r w:rsidRPr="008E5044">
              <w:t xml:space="preserve">Статья </w:t>
            </w:r>
            <w:r w:rsidR="00F5220C" w:rsidRPr="008E5044">
              <w:t>11</w:t>
            </w:r>
            <w:r w:rsidRPr="008E5044">
              <w:t xml:space="preserve">. </w:t>
            </w:r>
          </w:p>
          <w:p w14:paraId="3966A9C5" w14:textId="77777777" w:rsidR="004959FC" w:rsidRPr="008E5044" w:rsidRDefault="004959FC" w:rsidP="008E5044">
            <w:pPr>
              <w:pStyle w:val="ad"/>
              <w:jc w:val="both"/>
            </w:pPr>
          </w:p>
          <w:p w14:paraId="328BB306" w14:textId="77777777" w:rsidR="004959FC" w:rsidRPr="008E5044" w:rsidRDefault="004959FC" w:rsidP="008E5044">
            <w:pPr>
              <w:pStyle w:val="ad"/>
              <w:jc w:val="both"/>
            </w:pPr>
            <w:r w:rsidRPr="008E5044">
              <w:t>…</w:t>
            </w:r>
          </w:p>
          <w:p w14:paraId="345FB975" w14:textId="15F4223F" w:rsidR="004959FC" w:rsidRPr="008E5044" w:rsidRDefault="00F5220C" w:rsidP="008E5044">
            <w:pPr>
              <w:pStyle w:val="ad"/>
              <w:jc w:val="both"/>
            </w:pPr>
            <w:r w:rsidRPr="008E5044">
              <w:t>1</w:t>
            </w:r>
            <w:r w:rsidR="00CD4868" w:rsidRPr="008E5044">
              <w:t>6</w:t>
            </w:r>
            <w:r w:rsidR="004959FC" w:rsidRPr="008E5044">
              <w:t>. Отсутствует.</w:t>
            </w:r>
          </w:p>
          <w:p w14:paraId="575A93E5" w14:textId="77777777" w:rsidR="004959FC" w:rsidRPr="008E5044" w:rsidRDefault="004959FC" w:rsidP="008E5044">
            <w:pPr>
              <w:pStyle w:val="ad"/>
              <w:jc w:val="both"/>
            </w:pPr>
          </w:p>
        </w:tc>
        <w:tc>
          <w:tcPr>
            <w:tcW w:w="5103" w:type="dxa"/>
            <w:tcBorders>
              <w:top w:val="single" w:sz="4" w:space="0" w:color="000000"/>
              <w:left w:val="single" w:sz="4" w:space="0" w:color="000000"/>
              <w:bottom w:val="single" w:sz="4" w:space="0" w:color="000000"/>
              <w:right w:val="single" w:sz="4" w:space="0" w:color="000000"/>
            </w:tcBorders>
            <w:hideMark/>
          </w:tcPr>
          <w:p w14:paraId="48E8A297" w14:textId="6B87D87C" w:rsidR="004959FC" w:rsidRPr="008E5044" w:rsidRDefault="004959FC" w:rsidP="008E5044">
            <w:pPr>
              <w:pStyle w:val="ad"/>
              <w:jc w:val="both"/>
            </w:pPr>
            <w:r w:rsidRPr="008E5044">
              <w:t xml:space="preserve">Статья </w:t>
            </w:r>
            <w:r w:rsidR="00F5220C" w:rsidRPr="008E5044">
              <w:t>11</w:t>
            </w:r>
            <w:r w:rsidRPr="008E5044">
              <w:t xml:space="preserve">. </w:t>
            </w:r>
          </w:p>
          <w:p w14:paraId="449F01C0" w14:textId="77777777" w:rsidR="00F5220C" w:rsidRPr="008E5044" w:rsidRDefault="00F5220C" w:rsidP="008E5044">
            <w:pPr>
              <w:pStyle w:val="ad"/>
              <w:jc w:val="both"/>
            </w:pPr>
          </w:p>
          <w:p w14:paraId="34DE4277" w14:textId="2707A818" w:rsidR="00A72F67" w:rsidRPr="008E5044" w:rsidRDefault="00A72F67" w:rsidP="008E5044">
            <w:pPr>
              <w:pStyle w:val="ad"/>
              <w:jc w:val="both"/>
            </w:pPr>
            <w:r w:rsidRPr="008E5044">
              <w:t>…</w:t>
            </w:r>
          </w:p>
          <w:p w14:paraId="0A479292" w14:textId="70952AF4" w:rsidR="004959FC" w:rsidRPr="008E5044" w:rsidRDefault="00CD4868" w:rsidP="008E5044">
            <w:pPr>
              <w:pStyle w:val="ad"/>
              <w:jc w:val="both"/>
            </w:pPr>
            <w:r w:rsidRPr="008E5044">
              <w:t>16.</w:t>
            </w:r>
            <w:r w:rsidR="004959FC" w:rsidRPr="008E5044">
              <w:t xml:space="preserve"> </w:t>
            </w:r>
            <w:r w:rsidR="00F5220C" w:rsidRPr="008E5044">
              <w:t>Статья 9-1</w:t>
            </w:r>
            <w:r w:rsidRPr="008E5044">
              <w:t>5</w:t>
            </w:r>
            <w:r w:rsidR="00F5220C" w:rsidRPr="008E5044">
              <w:t xml:space="preserve"> </w:t>
            </w:r>
            <w:r w:rsidR="004959FC" w:rsidRPr="008E5044">
              <w:t>настоящего Закона вступает в силу со дня, следующего за днем официального опубликования</w:t>
            </w:r>
            <w:r w:rsidR="00A72F67" w:rsidRPr="008E5044">
              <w:t>,</w:t>
            </w:r>
            <w:r w:rsidR="004959FC" w:rsidRPr="008E5044">
              <w:t xml:space="preserve"> и действует по 31 </w:t>
            </w:r>
            <w:r w:rsidRPr="008E5044">
              <w:t>января</w:t>
            </w:r>
            <w:r w:rsidR="004959FC" w:rsidRPr="008E5044">
              <w:t xml:space="preserve"> 202</w:t>
            </w:r>
            <w:r w:rsidR="00C27C2E" w:rsidRPr="008E5044">
              <w:t>6</w:t>
            </w:r>
            <w:r w:rsidR="004959FC" w:rsidRPr="008E5044">
              <w:t xml:space="preserve"> года.</w:t>
            </w:r>
          </w:p>
        </w:tc>
      </w:tr>
    </w:tbl>
    <w:p w14:paraId="71A0C8BB" w14:textId="77777777" w:rsidR="004959FC" w:rsidRPr="008E5044" w:rsidRDefault="004959FC" w:rsidP="008E5044">
      <w:pPr>
        <w:pStyle w:val="ad"/>
        <w:jc w:val="both"/>
        <w:rPr>
          <w:rFonts w:eastAsia="Calibri"/>
        </w:rPr>
      </w:pPr>
    </w:p>
    <w:sectPr w:rsidR="004959FC" w:rsidRPr="008E5044" w:rsidSect="008E5044">
      <w:headerReference w:type="first" r:id="rId8"/>
      <w:pgSz w:w="11906" w:h="16838"/>
      <w:pgMar w:top="1134" w:right="850"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77516" w14:textId="77777777" w:rsidR="00841EB5" w:rsidRDefault="00841EB5">
      <w:pPr>
        <w:spacing w:after="0" w:line="240" w:lineRule="auto"/>
      </w:pPr>
      <w:r>
        <w:separator/>
      </w:r>
    </w:p>
  </w:endnote>
  <w:endnote w:type="continuationSeparator" w:id="0">
    <w:p w14:paraId="51088591" w14:textId="77777777" w:rsidR="00841EB5" w:rsidRDefault="0084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C16F" w14:textId="77777777" w:rsidR="00841EB5" w:rsidRDefault="00841EB5">
      <w:pPr>
        <w:spacing w:after="0" w:line="240" w:lineRule="auto"/>
      </w:pPr>
      <w:r>
        <w:separator/>
      </w:r>
    </w:p>
  </w:footnote>
  <w:footnote w:type="continuationSeparator" w:id="0">
    <w:p w14:paraId="330DFD83" w14:textId="77777777" w:rsidR="00841EB5" w:rsidRDefault="00841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B9F58" w14:textId="77777777" w:rsidR="00C31E52" w:rsidRDefault="00C31E52">
    <w:pPr>
      <w:pStyle w:val="a3"/>
      <w:jc w:val="center"/>
    </w:pPr>
  </w:p>
  <w:p w14:paraId="31CCE4B6" w14:textId="77777777" w:rsidR="00C31E52" w:rsidRDefault="00C31E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115"/>
    <w:multiLevelType w:val="hybridMultilevel"/>
    <w:tmpl w:val="2F88FC32"/>
    <w:lvl w:ilvl="0" w:tplc="83B66F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0AF0643"/>
    <w:multiLevelType w:val="hybridMultilevel"/>
    <w:tmpl w:val="5B12446C"/>
    <w:lvl w:ilvl="0" w:tplc="34E232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8E45E22"/>
    <w:multiLevelType w:val="hybridMultilevel"/>
    <w:tmpl w:val="D7323536"/>
    <w:lvl w:ilvl="0" w:tplc="CAD27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CEF4269"/>
    <w:multiLevelType w:val="hybridMultilevel"/>
    <w:tmpl w:val="6AA01B42"/>
    <w:lvl w:ilvl="0" w:tplc="768C3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6F"/>
    <w:rsid w:val="00002B76"/>
    <w:rsid w:val="000233D6"/>
    <w:rsid w:val="00032F3B"/>
    <w:rsid w:val="000440E3"/>
    <w:rsid w:val="0004659A"/>
    <w:rsid w:val="000574BD"/>
    <w:rsid w:val="000705D5"/>
    <w:rsid w:val="00097BF1"/>
    <w:rsid w:val="000D1EF9"/>
    <w:rsid w:val="000F47BB"/>
    <w:rsid w:val="001101A6"/>
    <w:rsid w:val="0012703D"/>
    <w:rsid w:val="0014109D"/>
    <w:rsid w:val="00144F8B"/>
    <w:rsid w:val="00154868"/>
    <w:rsid w:val="00165F64"/>
    <w:rsid w:val="00176A66"/>
    <w:rsid w:val="0019411B"/>
    <w:rsid w:val="00195388"/>
    <w:rsid w:val="001B3B9F"/>
    <w:rsid w:val="001B7688"/>
    <w:rsid w:val="001D6ADD"/>
    <w:rsid w:val="00214592"/>
    <w:rsid w:val="00220199"/>
    <w:rsid w:val="002215BD"/>
    <w:rsid w:val="002344E7"/>
    <w:rsid w:val="00263471"/>
    <w:rsid w:val="0029105E"/>
    <w:rsid w:val="002A0D3F"/>
    <w:rsid w:val="002A2F1E"/>
    <w:rsid w:val="002D482B"/>
    <w:rsid w:val="002D777F"/>
    <w:rsid w:val="002E4DAF"/>
    <w:rsid w:val="002F0E3D"/>
    <w:rsid w:val="00332E71"/>
    <w:rsid w:val="003676CF"/>
    <w:rsid w:val="00387736"/>
    <w:rsid w:val="003B2971"/>
    <w:rsid w:val="003B2B4A"/>
    <w:rsid w:val="003C7544"/>
    <w:rsid w:val="003F0776"/>
    <w:rsid w:val="003F0EC3"/>
    <w:rsid w:val="004161DB"/>
    <w:rsid w:val="00420F73"/>
    <w:rsid w:val="00422A9D"/>
    <w:rsid w:val="00430D33"/>
    <w:rsid w:val="00436AE7"/>
    <w:rsid w:val="00440F33"/>
    <w:rsid w:val="00442FBE"/>
    <w:rsid w:val="0048307C"/>
    <w:rsid w:val="00485108"/>
    <w:rsid w:val="004959FC"/>
    <w:rsid w:val="0049616F"/>
    <w:rsid w:val="004C2D87"/>
    <w:rsid w:val="00504701"/>
    <w:rsid w:val="00517CF1"/>
    <w:rsid w:val="005244B5"/>
    <w:rsid w:val="005302BF"/>
    <w:rsid w:val="00533FDE"/>
    <w:rsid w:val="00543796"/>
    <w:rsid w:val="0056231F"/>
    <w:rsid w:val="005B60CC"/>
    <w:rsid w:val="005D547A"/>
    <w:rsid w:val="005E123C"/>
    <w:rsid w:val="00603841"/>
    <w:rsid w:val="00615F31"/>
    <w:rsid w:val="0062363F"/>
    <w:rsid w:val="00673DE8"/>
    <w:rsid w:val="00674B99"/>
    <w:rsid w:val="006814A3"/>
    <w:rsid w:val="006C6358"/>
    <w:rsid w:val="006C6726"/>
    <w:rsid w:val="006D15EC"/>
    <w:rsid w:val="006F0FA0"/>
    <w:rsid w:val="006F5A8D"/>
    <w:rsid w:val="00702B2C"/>
    <w:rsid w:val="00733C31"/>
    <w:rsid w:val="00740958"/>
    <w:rsid w:val="00744DEA"/>
    <w:rsid w:val="00747A0D"/>
    <w:rsid w:val="00766FAF"/>
    <w:rsid w:val="00767B07"/>
    <w:rsid w:val="00782266"/>
    <w:rsid w:val="007A403E"/>
    <w:rsid w:val="007A6197"/>
    <w:rsid w:val="007A7D01"/>
    <w:rsid w:val="007C5123"/>
    <w:rsid w:val="007D216F"/>
    <w:rsid w:val="007D72BC"/>
    <w:rsid w:val="007E13C3"/>
    <w:rsid w:val="007F11D1"/>
    <w:rsid w:val="00803A5E"/>
    <w:rsid w:val="00841EB5"/>
    <w:rsid w:val="00882AAC"/>
    <w:rsid w:val="008838A3"/>
    <w:rsid w:val="008A52E0"/>
    <w:rsid w:val="008A7440"/>
    <w:rsid w:val="008B7E53"/>
    <w:rsid w:val="008E5044"/>
    <w:rsid w:val="008F5631"/>
    <w:rsid w:val="00905A92"/>
    <w:rsid w:val="009400D9"/>
    <w:rsid w:val="009A7707"/>
    <w:rsid w:val="009B2720"/>
    <w:rsid w:val="009B3EFC"/>
    <w:rsid w:val="009C5954"/>
    <w:rsid w:val="009E14EC"/>
    <w:rsid w:val="009E4350"/>
    <w:rsid w:val="009F371A"/>
    <w:rsid w:val="00A06DA1"/>
    <w:rsid w:val="00A16B45"/>
    <w:rsid w:val="00A279EA"/>
    <w:rsid w:val="00A368BC"/>
    <w:rsid w:val="00A43219"/>
    <w:rsid w:val="00A4400C"/>
    <w:rsid w:val="00A44BB5"/>
    <w:rsid w:val="00A6364C"/>
    <w:rsid w:val="00A63B43"/>
    <w:rsid w:val="00A72F67"/>
    <w:rsid w:val="00A90793"/>
    <w:rsid w:val="00AA0EDF"/>
    <w:rsid w:val="00AA2A7E"/>
    <w:rsid w:val="00AB0D7E"/>
    <w:rsid w:val="00AB137B"/>
    <w:rsid w:val="00AB3BE5"/>
    <w:rsid w:val="00AD536F"/>
    <w:rsid w:val="00AD7B6F"/>
    <w:rsid w:val="00AE2DAD"/>
    <w:rsid w:val="00AE5471"/>
    <w:rsid w:val="00B1543F"/>
    <w:rsid w:val="00B31732"/>
    <w:rsid w:val="00B330FF"/>
    <w:rsid w:val="00B47B11"/>
    <w:rsid w:val="00B8484D"/>
    <w:rsid w:val="00B96730"/>
    <w:rsid w:val="00BA154B"/>
    <w:rsid w:val="00BB0000"/>
    <w:rsid w:val="00BD29AD"/>
    <w:rsid w:val="00BE37CD"/>
    <w:rsid w:val="00BE38E7"/>
    <w:rsid w:val="00BE4F3F"/>
    <w:rsid w:val="00BE52BB"/>
    <w:rsid w:val="00BF467F"/>
    <w:rsid w:val="00C02E77"/>
    <w:rsid w:val="00C128D5"/>
    <w:rsid w:val="00C14579"/>
    <w:rsid w:val="00C20CC1"/>
    <w:rsid w:val="00C21F20"/>
    <w:rsid w:val="00C24E8B"/>
    <w:rsid w:val="00C27C2E"/>
    <w:rsid w:val="00C31E52"/>
    <w:rsid w:val="00C878FE"/>
    <w:rsid w:val="00CA2612"/>
    <w:rsid w:val="00CB1500"/>
    <w:rsid w:val="00CD24DB"/>
    <w:rsid w:val="00CD4868"/>
    <w:rsid w:val="00CD5E21"/>
    <w:rsid w:val="00CE6D78"/>
    <w:rsid w:val="00CF01E1"/>
    <w:rsid w:val="00D045C2"/>
    <w:rsid w:val="00D22BE7"/>
    <w:rsid w:val="00D365E7"/>
    <w:rsid w:val="00D43230"/>
    <w:rsid w:val="00D550E0"/>
    <w:rsid w:val="00D73DAA"/>
    <w:rsid w:val="00D91CB2"/>
    <w:rsid w:val="00DA79F8"/>
    <w:rsid w:val="00DB69C1"/>
    <w:rsid w:val="00DC049F"/>
    <w:rsid w:val="00DD14A8"/>
    <w:rsid w:val="00E053AC"/>
    <w:rsid w:val="00E238A9"/>
    <w:rsid w:val="00E412DF"/>
    <w:rsid w:val="00E44C09"/>
    <w:rsid w:val="00E614CE"/>
    <w:rsid w:val="00E6658A"/>
    <w:rsid w:val="00EB25CB"/>
    <w:rsid w:val="00EB3D35"/>
    <w:rsid w:val="00EE65CE"/>
    <w:rsid w:val="00F0086E"/>
    <w:rsid w:val="00F036C0"/>
    <w:rsid w:val="00F03A37"/>
    <w:rsid w:val="00F13F02"/>
    <w:rsid w:val="00F2072A"/>
    <w:rsid w:val="00F217AC"/>
    <w:rsid w:val="00F21B5A"/>
    <w:rsid w:val="00F404D0"/>
    <w:rsid w:val="00F5220C"/>
    <w:rsid w:val="00F52832"/>
    <w:rsid w:val="00F641C4"/>
    <w:rsid w:val="00F7578E"/>
    <w:rsid w:val="00F80BC3"/>
    <w:rsid w:val="00F912A1"/>
    <w:rsid w:val="00F92244"/>
    <w:rsid w:val="00F94430"/>
    <w:rsid w:val="00FA699B"/>
    <w:rsid w:val="00FC1F00"/>
    <w:rsid w:val="00FC53AA"/>
    <w:rsid w:val="00FE3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CBCF"/>
  <w15:docId w15:val="{7DA6707C-8C24-4437-B744-AAB8F3CC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F2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9F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959FC"/>
    <w:rPr>
      <w:rFonts w:ascii="Times New Roman" w:eastAsia="Times New Roman" w:hAnsi="Times New Roman" w:cs="Times New Roman"/>
      <w:sz w:val="24"/>
      <w:szCs w:val="24"/>
      <w:lang w:eastAsia="ru-RU"/>
    </w:rPr>
  </w:style>
  <w:style w:type="character" w:customStyle="1" w:styleId="pt-a0-000004">
    <w:name w:val="pt-a0-000004"/>
    <w:basedOn w:val="a0"/>
    <w:rsid w:val="004959FC"/>
  </w:style>
  <w:style w:type="paragraph" w:customStyle="1" w:styleId="head">
    <w:name w:val="head"/>
    <w:basedOn w:val="a"/>
    <w:rsid w:val="004959FC"/>
    <w:pPr>
      <w:spacing w:before="100" w:beforeAutospacing="1" w:after="100" w:afterAutospacing="1" w:line="240" w:lineRule="auto"/>
      <w:jc w:val="center"/>
    </w:pPr>
    <w:rPr>
      <w:rFonts w:ascii="Times New Roman" w:eastAsia="Times New Roman" w:hAnsi="Times New Roman" w:cs="Times New Roman"/>
      <w:sz w:val="28"/>
      <w:szCs w:val="20"/>
      <w:lang w:eastAsia="ru-RU"/>
    </w:rPr>
  </w:style>
  <w:style w:type="paragraph" w:styleId="a5">
    <w:name w:val="List Paragraph"/>
    <w:basedOn w:val="a"/>
    <w:uiPriority w:val="34"/>
    <w:qFormat/>
    <w:rsid w:val="004959FC"/>
    <w:pPr>
      <w:spacing w:after="0" w:line="240" w:lineRule="auto"/>
      <w:ind w:left="720"/>
      <w:contextualSpacing/>
    </w:pPr>
    <w:rPr>
      <w:rFonts w:ascii="Times New Roman" w:eastAsia="Times New Roman" w:hAnsi="Times New Roman" w:cs="Times New Roman"/>
      <w:sz w:val="24"/>
      <w:szCs w:val="24"/>
      <w:lang w:eastAsia="ru-RU"/>
    </w:rPr>
  </w:style>
  <w:style w:type="table" w:styleId="a6">
    <w:name w:val="Table Grid"/>
    <w:basedOn w:val="a1"/>
    <w:uiPriority w:val="39"/>
    <w:rsid w:val="00495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aliases w:val="Текст Знак1 Знак,Текст Знак Знак Знак, Знак Знак Знак Знак,Знак, Знак,Текст Знак1, Знак Знак Знак,Текст Знак2,Текст Знак1 Знак Знак,Текст Знак Знак Знак Знак,Знак Знак Знак Знак Знак,Знак Знак Знак Знак1, Знак Знак Знак Знак Знак, Зна, 1,З,Текст1"/>
    <w:basedOn w:val="a"/>
    <w:link w:val="3"/>
    <w:rsid w:val="004959FC"/>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uiPriority w:val="99"/>
    <w:semiHidden/>
    <w:rsid w:val="004959FC"/>
    <w:rPr>
      <w:rFonts w:ascii="Consolas" w:hAnsi="Consolas"/>
      <w:sz w:val="21"/>
      <w:szCs w:val="21"/>
    </w:rPr>
  </w:style>
  <w:style w:type="character" w:customStyle="1" w:styleId="3">
    <w:name w:val="Текст Знак3"/>
    <w:aliases w:val="Текст Знак1 Знак Знак1,Текст Знак Знак Знак Знак1, Знак Знак Знак Знак Знак1,Знак Знак, Знак Знак,Текст Знак1 Знак1, Знак Знак Знак Знак1,Текст Знак2 Знак,Текст Знак1 Знак Знак Знак,Текст Знак Знак Знак Знак Знак,Знак Знак Знак Знак1 Знак"/>
    <w:link w:val="a7"/>
    <w:rsid w:val="004959FC"/>
    <w:rPr>
      <w:rFonts w:ascii="Courier New" w:eastAsia="Times New Roman" w:hAnsi="Courier New" w:cs="Courier New"/>
      <w:sz w:val="20"/>
      <w:szCs w:val="20"/>
      <w:lang w:eastAsia="ru-RU"/>
    </w:rPr>
  </w:style>
  <w:style w:type="paragraph" w:styleId="a9">
    <w:name w:val="Body Text"/>
    <w:basedOn w:val="a"/>
    <w:link w:val="aa"/>
    <w:rsid w:val="004959FC"/>
    <w:pPr>
      <w:spacing w:after="0" w:line="240" w:lineRule="auto"/>
      <w:jc w:val="both"/>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4959FC"/>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495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d"/>
    <w:uiPriority w:val="1"/>
    <w:locked/>
    <w:rsid w:val="004959FC"/>
    <w:rPr>
      <w:rFonts w:ascii="Times New Roman" w:eastAsia="Times New Roman" w:hAnsi="Times New Roman" w:cs="Times New Roman"/>
      <w:sz w:val="24"/>
      <w:szCs w:val="24"/>
    </w:rPr>
  </w:style>
  <w:style w:type="paragraph" w:styleId="ad">
    <w:name w:val="No Spacing"/>
    <w:link w:val="ac"/>
    <w:uiPriority w:val="1"/>
    <w:qFormat/>
    <w:rsid w:val="004959FC"/>
    <w:pPr>
      <w:spacing w:after="0" w:line="240" w:lineRule="auto"/>
    </w:pPr>
    <w:rPr>
      <w:rFonts w:ascii="Times New Roman" w:eastAsia="Times New Roman" w:hAnsi="Times New Roman" w:cs="Times New Roman"/>
      <w:sz w:val="24"/>
      <w:szCs w:val="24"/>
    </w:rPr>
  </w:style>
  <w:style w:type="character" w:styleId="ae">
    <w:name w:val="Strong"/>
    <w:basedOn w:val="a0"/>
    <w:uiPriority w:val="22"/>
    <w:qFormat/>
    <w:rsid w:val="004959FC"/>
    <w:rPr>
      <w:b/>
      <w:bCs/>
    </w:rPr>
  </w:style>
  <w:style w:type="character" w:styleId="af">
    <w:name w:val="annotation reference"/>
    <w:basedOn w:val="a0"/>
    <w:uiPriority w:val="99"/>
    <w:semiHidden/>
    <w:unhideWhenUsed/>
    <w:rsid w:val="00543796"/>
    <w:rPr>
      <w:sz w:val="16"/>
      <w:szCs w:val="16"/>
    </w:rPr>
  </w:style>
  <w:style w:type="paragraph" w:styleId="af0">
    <w:name w:val="annotation text"/>
    <w:basedOn w:val="a"/>
    <w:link w:val="af1"/>
    <w:uiPriority w:val="99"/>
    <w:semiHidden/>
    <w:unhideWhenUsed/>
    <w:rsid w:val="00543796"/>
    <w:pPr>
      <w:spacing w:line="240" w:lineRule="auto"/>
    </w:pPr>
    <w:rPr>
      <w:sz w:val="20"/>
      <w:szCs w:val="20"/>
    </w:rPr>
  </w:style>
  <w:style w:type="character" w:customStyle="1" w:styleId="af1">
    <w:name w:val="Текст примечания Знак"/>
    <w:basedOn w:val="a0"/>
    <w:link w:val="af0"/>
    <w:uiPriority w:val="99"/>
    <w:semiHidden/>
    <w:rsid w:val="00543796"/>
    <w:rPr>
      <w:sz w:val="20"/>
      <w:szCs w:val="20"/>
    </w:rPr>
  </w:style>
  <w:style w:type="paragraph" w:styleId="af2">
    <w:name w:val="annotation subject"/>
    <w:basedOn w:val="af0"/>
    <w:next w:val="af0"/>
    <w:link w:val="af3"/>
    <w:uiPriority w:val="99"/>
    <w:semiHidden/>
    <w:unhideWhenUsed/>
    <w:rsid w:val="00543796"/>
    <w:rPr>
      <w:b/>
      <w:bCs/>
    </w:rPr>
  </w:style>
  <w:style w:type="character" w:customStyle="1" w:styleId="af3">
    <w:name w:val="Тема примечания Знак"/>
    <w:basedOn w:val="af1"/>
    <w:link w:val="af2"/>
    <w:uiPriority w:val="99"/>
    <w:semiHidden/>
    <w:rsid w:val="00543796"/>
    <w:rPr>
      <w:b/>
      <w:bCs/>
      <w:sz w:val="20"/>
      <w:szCs w:val="20"/>
    </w:rPr>
  </w:style>
  <w:style w:type="paragraph" w:styleId="af4">
    <w:name w:val="Balloon Text"/>
    <w:basedOn w:val="a"/>
    <w:link w:val="af5"/>
    <w:uiPriority w:val="99"/>
    <w:semiHidden/>
    <w:unhideWhenUsed/>
    <w:rsid w:val="00543796"/>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543796"/>
    <w:rPr>
      <w:rFonts w:ascii="Segoe UI" w:hAnsi="Segoe UI" w:cs="Segoe UI"/>
      <w:sz w:val="18"/>
      <w:szCs w:val="18"/>
    </w:rPr>
  </w:style>
  <w:style w:type="paragraph" w:styleId="af6">
    <w:name w:val="footer"/>
    <w:basedOn w:val="a"/>
    <w:link w:val="af7"/>
    <w:uiPriority w:val="99"/>
    <w:unhideWhenUsed/>
    <w:rsid w:val="009400D9"/>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400D9"/>
  </w:style>
  <w:style w:type="paragraph" w:customStyle="1" w:styleId="af8">
    <w:basedOn w:val="a"/>
    <w:next w:val="ab"/>
    <w:uiPriority w:val="99"/>
    <w:unhideWhenUsed/>
    <w:rsid w:val="000233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C4B97-D9E6-4DE0-A63F-2D353719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283</Words>
  <Characters>1617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Гарбуз О.В.</dc:creator>
  <cp:lastModifiedBy>Гончар Елена Дмитриевна</cp:lastModifiedBy>
  <cp:revision>6</cp:revision>
  <cp:lastPrinted>2025-11-25T07:56:00Z</cp:lastPrinted>
  <dcterms:created xsi:type="dcterms:W3CDTF">2025-11-24T14:32:00Z</dcterms:created>
  <dcterms:modified xsi:type="dcterms:W3CDTF">2025-12-04T09:28:00Z</dcterms:modified>
</cp:coreProperties>
</file>