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96904C" w14:textId="77777777" w:rsidR="00694410" w:rsidRPr="00694410" w:rsidRDefault="00694410" w:rsidP="00694410">
      <w:pPr>
        <w:pStyle w:val="a4"/>
        <w:jc w:val="both"/>
      </w:pPr>
      <w:bookmarkStart w:id="0" w:name="_GoBack"/>
      <w:bookmarkEnd w:id="0"/>
    </w:p>
    <w:p w14:paraId="5CE60BE0" w14:textId="77777777" w:rsidR="008E0E92" w:rsidRPr="00694410" w:rsidRDefault="008E0E92" w:rsidP="00694410">
      <w:pPr>
        <w:pStyle w:val="a4"/>
        <w:jc w:val="both"/>
      </w:pPr>
      <w:r w:rsidRPr="00694410">
        <w:t>Сравнительная таблица</w:t>
      </w:r>
    </w:p>
    <w:p w14:paraId="006267F8" w14:textId="77777777" w:rsidR="008E0E92" w:rsidRPr="00694410" w:rsidRDefault="008E0E92" w:rsidP="00694410">
      <w:pPr>
        <w:pStyle w:val="a4"/>
        <w:jc w:val="both"/>
      </w:pPr>
      <w:r w:rsidRPr="00694410">
        <w:t xml:space="preserve">к проекту закона Приднестровской Молдавской Республики </w:t>
      </w:r>
    </w:p>
    <w:p w14:paraId="4DA7858E" w14:textId="77777777" w:rsidR="00DE0E32" w:rsidRPr="00694410" w:rsidRDefault="008E0E92" w:rsidP="00694410">
      <w:pPr>
        <w:pStyle w:val="a4"/>
        <w:jc w:val="both"/>
      </w:pPr>
      <w:r w:rsidRPr="00694410">
        <w:t xml:space="preserve">«О внесении изменений в Закон </w:t>
      </w:r>
    </w:p>
    <w:p w14:paraId="5A3B5588" w14:textId="60C3ABED" w:rsidR="008E0E92" w:rsidRPr="00694410" w:rsidRDefault="008E0E92" w:rsidP="00694410">
      <w:pPr>
        <w:pStyle w:val="a4"/>
        <w:jc w:val="both"/>
      </w:pPr>
      <w:r w:rsidRPr="00694410">
        <w:t>Приднестровской Молдавской Республики</w:t>
      </w:r>
      <w:r w:rsidRPr="00694410">
        <w:br/>
        <w:t>«Об электроэнергетике»</w:t>
      </w:r>
    </w:p>
    <w:p w14:paraId="314D2457" w14:textId="77777777" w:rsidR="008E0E92" w:rsidRPr="00694410" w:rsidRDefault="008E0E92" w:rsidP="00694410">
      <w:pPr>
        <w:pStyle w:val="a4"/>
        <w:jc w:val="both"/>
      </w:pPr>
    </w:p>
    <w:tbl>
      <w:tblPr>
        <w:tblStyle w:val="a3"/>
        <w:tblW w:w="9895" w:type="dxa"/>
        <w:tblInd w:w="-431" w:type="dxa"/>
        <w:tblLook w:val="04A0" w:firstRow="1" w:lastRow="0" w:firstColumn="1" w:lastColumn="0" w:noHBand="0" w:noVBand="1"/>
      </w:tblPr>
      <w:tblGrid>
        <w:gridCol w:w="4962"/>
        <w:gridCol w:w="4933"/>
      </w:tblGrid>
      <w:tr w:rsidR="008E0E92" w:rsidRPr="00694410" w14:paraId="3B1F99C9" w14:textId="77777777" w:rsidTr="00367DFA">
        <w:trPr>
          <w:trHeight w:val="421"/>
        </w:trPr>
        <w:tc>
          <w:tcPr>
            <w:tcW w:w="4962" w:type="dxa"/>
          </w:tcPr>
          <w:p w14:paraId="7777EEF9" w14:textId="77777777" w:rsidR="008E0E92" w:rsidRPr="00694410" w:rsidRDefault="008E0E92" w:rsidP="00694410">
            <w:pPr>
              <w:pStyle w:val="a4"/>
              <w:jc w:val="both"/>
            </w:pPr>
            <w:r w:rsidRPr="00694410">
              <w:t>Действующая редакция</w:t>
            </w:r>
          </w:p>
        </w:tc>
        <w:tc>
          <w:tcPr>
            <w:tcW w:w="4933" w:type="dxa"/>
          </w:tcPr>
          <w:p w14:paraId="5FAE41CF" w14:textId="77777777" w:rsidR="008E0E92" w:rsidRPr="00694410" w:rsidRDefault="008E0E92" w:rsidP="00694410">
            <w:pPr>
              <w:pStyle w:val="a4"/>
              <w:jc w:val="both"/>
            </w:pPr>
            <w:r w:rsidRPr="00694410">
              <w:t>Предлагаемая редакция</w:t>
            </w:r>
          </w:p>
        </w:tc>
      </w:tr>
      <w:tr w:rsidR="008E0E92" w:rsidRPr="00694410" w14:paraId="1873F49D" w14:textId="77777777" w:rsidTr="00367DFA">
        <w:tc>
          <w:tcPr>
            <w:tcW w:w="4962" w:type="dxa"/>
          </w:tcPr>
          <w:p w14:paraId="465B89F6" w14:textId="49B38D85" w:rsidR="008E0E92" w:rsidRPr="00694410" w:rsidRDefault="008E0E92" w:rsidP="00694410">
            <w:pPr>
              <w:pStyle w:val="a4"/>
              <w:jc w:val="both"/>
            </w:pPr>
            <w:r w:rsidRPr="00694410">
              <w:t>Статья 2. Основные понятия, используемые в настоящем Законе</w:t>
            </w:r>
          </w:p>
          <w:p w14:paraId="40C88952" w14:textId="77777777" w:rsidR="008E0E92" w:rsidRPr="00694410" w:rsidRDefault="008E0E92" w:rsidP="00694410">
            <w:pPr>
              <w:pStyle w:val="a4"/>
              <w:jc w:val="both"/>
            </w:pPr>
            <w:r w:rsidRPr="00694410">
              <w:t>…</w:t>
            </w:r>
          </w:p>
          <w:p w14:paraId="6848D84B" w14:textId="77777777" w:rsidR="008E0E92" w:rsidRPr="00694410" w:rsidRDefault="008E0E92" w:rsidP="00694410">
            <w:pPr>
              <w:pStyle w:val="a4"/>
              <w:jc w:val="both"/>
            </w:pPr>
            <w:r w:rsidRPr="00694410">
              <w:t xml:space="preserve">е) генерирующая организация – субъект электроэнергетики Приднестровской Молдавской Республики, осуществляющий производство </w:t>
            </w:r>
            <w:r w:rsidRPr="00694410">
              <w:br/>
              <w:t>и реализацию электроэнергии, который владеет или пользуется генерирующим оборудованием (установкой) установленной генерирующей мощностью в точке присоединения 500 (пятьсот) и более киловатт</w:t>
            </w:r>
          </w:p>
          <w:p w14:paraId="4D9E965A" w14:textId="77777777" w:rsidR="008E0E92" w:rsidRPr="00694410" w:rsidRDefault="008E0E92" w:rsidP="00694410">
            <w:pPr>
              <w:pStyle w:val="a4"/>
              <w:jc w:val="both"/>
            </w:pPr>
            <w:r w:rsidRPr="00694410">
              <w:t>…</w:t>
            </w:r>
          </w:p>
          <w:p w14:paraId="57FAE41E" w14:textId="77777777" w:rsidR="008E0E92" w:rsidRPr="00694410" w:rsidRDefault="008E0E92" w:rsidP="00694410">
            <w:pPr>
              <w:pStyle w:val="a4"/>
              <w:jc w:val="both"/>
            </w:pPr>
            <w:r w:rsidRPr="00694410">
              <w:t>х) субъекты электроэнергетики – юридические лица, осуществляющие деятельность в сфере электроэнергетики, включающую производство электрической энергии (в том числе производство из возобновляемых источников энергии с использованием генерирующего оборудования (установок) установленной генерирующей мощностью в точке присоединения 500 (пятьсот) и более киловатт, а также в режиме комбинированной выработки электрической и тепловой энергии), поставку электрической энергии, предоставление услуг по передаче, по распределению электрической энергии, по снабжению электроэнергией, предоставление услуг по оперативно-диспетчерскому управлению в электроэнергетике, организацию купли-продажи электрической энергии;</w:t>
            </w:r>
          </w:p>
          <w:p w14:paraId="4F0E428A" w14:textId="77777777" w:rsidR="008E0E92" w:rsidRPr="00694410" w:rsidRDefault="008E0E92" w:rsidP="00694410">
            <w:pPr>
              <w:pStyle w:val="a4"/>
              <w:jc w:val="both"/>
            </w:pPr>
            <w:r w:rsidRPr="00694410">
              <w:t>….</w:t>
            </w:r>
          </w:p>
          <w:p w14:paraId="711B9AB2" w14:textId="34E62781" w:rsidR="008E0E92" w:rsidRPr="00694410" w:rsidRDefault="008E0E92" w:rsidP="00694410">
            <w:pPr>
              <w:pStyle w:val="a4"/>
              <w:jc w:val="both"/>
            </w:pPr>
            <w:r w:rsidRPr="00694410">
              <w:t>Статья 7. Правовые основы организации купли-продажи, поставки электрической энергии на рынке электрической энергии</w:t>
            </w:r>
          </w:p>
          <w:p w14:paraId="4B0A9473" w14:textId="77777777" w:rsidR="008E0E92" w:rsidRPr="00694410" w:rsidRDefault="008E0E92" w:rsidP="00694410">
            <w:pPr>
              <w:pStyle w:val="a4"/>
              <w:jc w:val="both"/>
            </w:pPr>
            <w:r w:rsidRPr="00694410">
              <w:t>3. ……</w:t>
            </w:r>
          </w:p>
          <w:p w14:paraId="6FEDEE4B" w14:textId="77777777" w:rsidR="008E0E92" w:rsidRPr="00694410" w:rsidRDefault="008E0E92" w:rsidP="00694410">
            <w:pPr>
              <w:pStyle w:val="a4"/>
              <w:jc w:val="both"/>
              <w:rPr>
                <w:rFonts w:eastAsia="Calibri"/>
              </w:rPr>
            </w:pPr>
            <w:r w:rsidRPr="00694410">
              <w:rPr>
                <w:rFonts w:eastAsia="Calibri"/>
              </w:rPr>
              <w:t xml:space="preserve">Поставка электроэнергии, оказание услуг по оперативно-диспетчерскому управлению, передаче и распределению электроэнергии, снабжению электроэнергией осуществляются по регулируемым тарифам, </w:t>
            </w:r>
            <w:r w:rsidRPr="00694410">
              <w:rPr>
                <w:rFonts w:eastAsia="Calibri"/>
              </w:rPr>
              <w:br/>
              <w:t xml:space="preserve">за исключением случая поставки </w:t>
            </w:r>
            <w:r w:rsidRPr="00694410">
              <w:rPr>
                <w:rFonts w:eastAsia="Calibri"/>
              </w:rPr>
              <w:lastRenderedPageBreak/>
              <w:t>электроэнергии по договору, одной стороной которого является производитель электроэнергии, использующий оборудование (установки), генерирующее (генерирующие) электрическую энергию из возобновляемых источников энергии установленной генерирующей мощностью в точке присоединения 500 (пятьсот) и более киловатт (кроме гидроэлектростанций), а также работающий в режиме комбинированной выработки электрической и тепловой энергии.</w:t>
            </w:r>
          </w:p>
          <w:p w14:paraId="15DBB061" w14:textId="77777777" w:rsidR="008E0E92" w:rsidRPr="00694410" w:rsidRDefault="008E0E92" w:rsidP="00694410">
            <w:pPr>
              <w:pStyle w:val="a4"/>
              <w:jc w:val="both"/>
              <w:rPr>
                <w:rFonts w:eastAsia="Calibri"/>
              </w:rPr>
            </w:pPr>
            <w:r w:rsidRPr="00694410">
              <w:rPr>
                <w:rFonts w:eastAsia="Calibri"/>
              </w:rPr>
              <w:t>…</w:t>
            </w:r>
          </w:p>
          <w:p w14:paraId="280A39E7" w14:textId="77777777" w:rsidR="008E0E92" w:rsidRPr="00694410" w:rsidRDefault="008E0E92" w:rsidP="00694410">
            <w:pPr>
              <w:pStyle w:val="a4"/>
              <w:jc w:val="both"/>
            </w:pPr>
          </w:p>
          <w:p w14:paraId="2B5C2364" w14:textId="446593F1" w:rsidR="008E0E92" w:rsidRPr="00694410" w:rsidRDefault="008E0E92" w:rsidP="00694410">
            <w:pPr>
              <w:pStyle w:val="a4"/>
              <w:jc w:val="both"/>
            </w:pPr>
            <w:r w:rsidRPr="00694410">
              <w:t>Статья 27-1. Государственное регулирование в сфере использования                       генерирующего оборудования (установок), производящего (производящих) электрическую энергию из возобновляемых источников энергии</w:t>
            </w:r>
          </w:p>
          <w:p w14:paraId="08C69051" w14:textId="77777777" w:rsidR="008E0E92" w:rsidRPr="00694410" w:rsidRDefault="008E0E92" w:rsidP="00694410">
            <w:pPr>
              <w:pStyle w:val="a4"/>
              <w:jc w:val="both"/>
              <w:rPr>
                <w:rFonts w:eastAsia="Calibri"/>
              </w:rPr>
            </w:pPr>
            <w:r w:rsidRPr="00694410">
              <w:t xml:space="preserve">2. </w:t>
            </w:r>
            <w:r w:rsidRPr="00694410">
              <w:rPr>
                <w:rFonts w:eastAsia="Calibri"/>
              </w:rPr>
              <w:t>Государственное регулирование в сфере использования генерирующего оборудования (установок), производящего (производящих) электрическую энергию из возобновляемых источников энергии, осуществляется путем:</w:t>
            </w:r>
          </w:p>
          <w:p w14:paraId="449B36DC" w14:textId="77777777" w:rsidR="008E0E92" w:rsidRPr="00694410" w:rsidRDefault="008E0E92" w:rsidP="00694410">
            <w:pPr>
              <w:pStyle w:val="a4"/>
              <w:jc w:val="both"/>
              <w:rPr>
                <w:rFonts w:eastAsia="Calibri"/>
              </w:rPr>
            </w:pPr>
            <w:r w:rsidRPr="00694410">
              <w:rPr>
                <w:rFonts w:eastAsia="Calibri"/>
              </w:rPr>
              <w:t>а) обеспечения соблюдения лицензионных и иных требовании в сфере производства электрической энергии из возобновляемых источников энергии в целях ее продажи с использованием генерирующего оборудования (установок) установленной генерирующей мощностью в точке присоединения 500 (пятьсот) и более киловатт, установленных законодательством Приднестровской Молдавской Республики;</w:t>
            </w:r>
          </w:p>
          <w:p w14:paraId="1194820C" w14:textId="77777777" w:rsidR="008E0E92" w:rsidRPr="00694410" w:rsidRDefault="008E0E92" w:rsidP="00694410">
            <w:pPr>
              <w:pStyle w:val="a4"/>
              <w:jc w:val="both"/>
            </w:pPr>
            <w:r w:rsidRPr="00694410">
              <w:t>…..</w:t>
            </w:r>
          </w:p>
          <w:p w14:paraId="094DBDF6" w14:textId="77777777" w:rsidR="008E0E92" w:rsidRPr="00694410" w:rsidRDefault="008E0E92" w:rsidP="00694410">
            <w:pPr>
              <w:pStyle w:val="a4"/>
              <w:jc w:val="both"/>
              <w:rPr>
                <w:rFonts w:eastAsia="Calibri"/>
              </w:rPr>
            </w:pPr>
            <w:r w:rsidRPr="00694410">
              <w:rPr>
                <w:rFonts w:eastAsia="Calibri"/>
              </w:rPr>
              <w:t>в) государственного надзора и государственного контроля за безопасным выполнением работ при строительстве или реконструкции генерирующего оборудования (установок), производящего (производящих) электрическую энергию из возобновляемых источников энергии.</w:t>
            </w:r>
          </w:p>
          <w:p w14:paraId="067D314E" w14:textId="77777777" w:rsidR="008E0E92" w:rsidRPr="00694410" w:rsidRDefault="008E0E92" w:rsidP="00694410">
            <w:pPr>
              <w:pStyle w:val="a4"/>
              <w:jc w:val="both"/>
            </w:pPr>
            <w:r w:rsidRPr="00694410">
              <w:t>Уполномоченный исполнительный орган государственной власти, в ведении которого находятся вопросы энергетики, в отношении юридических и физических лиц, производящих электроэнергию из возобновляемых источников энергии с использованием генерирующего оборудования генерирующей мощностью от 100 (ста) до 500 (пятисот) киловатт, определяет:</w:t>
            </w:r>
          </w:p>
          <w:p w14:paraId="0BD933E3" w14:textId="77777777" w:rsidR="008E0E92" w:rsidRPr="00694410" w:rsidRDefault="008E0E92" w:rsidP="00694410">
            <w:pPr>
              <w:pStyle w:val="a4"/>
              <w:jc w:val="both"/>
            </w:pPr>
            <w:r w:rsidRPr="00694410">
              <w:lastRenderedPageBreak/>
              <w:t>…</w:t>
            </w:r>
          </w:p>
        </w:tc>
        <w:tc>
          <w:tcPr>
            <w:tcW w:w="4933" w:type="dxa"/>
          </w:tcPr>
          <w:p w14:paraId="26A847EF" w14:textId="10A8FD61" w:rsidR="008E0E92" w:rsidRPr="00694410" w:rsidRDefault="008E0E92" w:rsidP="00694410">
            <w:pPr>
              <w:pStyle w:val="a4"/>
              <w:jc w:val="both"/>
            </w:pPr>
            <w:r w:rsidRPr="00694410">
              <w:lastRenderedPageBreak/>
              <w:t>Статья 2. Основные понятия, используемые в настоящем Законе</w:t>
            </w:r>
          </w:p>
          <w:p w14:paraId="20DC65B5" w14:textId="77777777" w:rsidR="008E0E92" w:rsidRPr="00694410" w:rsidRDefault="008E0E92" w:rsidP="00694410">
            <w:pPr>
              <w:pStyle w:val="a4"/>
              <w:jc w:val="both"/>
            </w:pPr>
            <w:r w:rsidRPr="00694410">
              <w:t>…</w:t>
            </w:r>
          </w:p>
          <w:p w14:paraId="423687FA" w14:textId="77777777" w:rsidR="008E0E92" w:rsidRPr="00694410" w:rsidRDefault="008E0E92" w:rsidP="00694410">
            <w:pPr>
              <w:pStyle w:val="a4"/>
              <w:jc w:val="both"/>
            </w:pPr>
            <w:r w:rsidRPr="00694410">
              <w:t xml:space="preserve">е) генерирующая организация – субъект электроэнергетики Приднестровской Молдавской Республики, осуществляющий производство </w:t>
            </w:r>
            <w:r w:rsidRPr="00694410">
              <w:br/>
              <w:t>и реализацию электроэнергии, который владеет или пользуется генерирующим оборудованием (установкой) установленной генерирующей мощностью в точке присоединения 300 (триста) и более киловатт</w:t>
            </w:r>
          </w:p>
          <w:p w14:paraId="410B56A4" w14:textId="77777777" w:rsidR="008E0E92" w:rsidRPr="00694410" w:rsidRDefault="008E0E92" w:rsidP="00694410">
            <w:pPr>
              <w:pStyle w:val="a4"/>
              <w:jc w:val="both"/>
            </w:pPr>
            <w:r w:rsidRPr="00694410">
              <w:t>…</w:t>
            </w:r>
          </w:p>
          <w:p w14:paraId="6B079CBB" w14:textId="77777777" w:rsidR="008E0E92" w:rsidRPr="00694410" w:rsidRDefault="008E0E92" w:rsidP="00694410">
            <w:pPr>
              <w:pStyle w:val="a4"/>
              <w:jc w:val="both"/>
            </w:pPr>
            <w:r w:rsidRPr="00694410">
              <w:t>х) субъекты электроэнергетики – юридические лица, осуществляющие деятельность в сфере электроэнергетики, включающую производство электрической энергии (в том числе производство из возобновляемых источников энергии с использованием генерирующего оборудования (установок) установленной генерирующей мощностью в точке присоединения 300 (триста) и более киловатт, а также в режиме комбинированной выработки электрической и тепловой энергии), поставку электрической энергии, предоставление услуг по передаче, по распределению электрической энергии, по снабжению электроэнергией, предоставление услуг по оперативно-диспетчерскому управлению в электроэнергетике, организацию купли-продажи электрической энергии;</w:t>
            </w:r>
          </w:p>
          <w:p w14:paraId="1E1492E5" w14:textId="77777777" w:rsidR="008E0E92" w:rsidRPr="00694410" w:rsidRDefault="008E0E92" w:rsidP="00694410">
            <w:pPr>
              <w:pStyle w:val="a4"/>
              <w:jc w:val="both"/>
            </w:pPr>
            <w:r w:rsidRPr="00694410">
              <w:t>….</w:t>
            </w:r>
          </w:p>
          <w:p w14:paraId="16541078" w14:textId="77777777" w:rsidR="008E0E92" w:rsidRPr="00694410" w:rsidRDefault="008E0E92" w:rsidP="00694410">
            <w:pPr>
              <w:pStyle w:val="a4"/>
              <w:jc w:val="both"/>
            </w:pPr>
          </w:p>
          <w:p w14:paraId="320884B1" w14:textId="3AB1C0ED" w:rsidR="008E0E92" w:rsidRPr="00694410" w:rsidRDefault="008E0E92" w:rsidP="00694410">
            <w:pPr>
              <w:pStyle w:val="a4"/>
              <w:jc w:val="both"/>
            </w:pPr>
            <w:r w:rsidRPr="00694410">
              <w:t>Статья 7. Правовые основы организации купли-продажи, поставки электрической энергии на рынке электрической энергии</w:t>
            </w:r>
          </w:p>
          <w:p w14:paraId="0BD73D84" w14:textId="77777777" w:rsidR="008E0E92" w:rsidRPr="00694410" w:rsidRDefault="008E0E92" w:rsidP="00694410">
            <w:pPr>
              <w:pStyle w:val="a4"/>
              <w:jc w:val="both"/>
            </w:pPr>
            <w:r w:rsidRPr="00694410">
              <w:t>3. ……</w:t>
            </w:r>
          </w:p>
          <w:p w14:paraId="5B5FA1CE" w14:textId="77777777" w:rsidR="008E0E92" w:rsidRPr="00694410" w:rsidRDefault="008E0E92" w:rsidP="00694410">
            <w:pPr>
              <w:pStyle w:val="a4"/>
              <w:jc w:val="both"/>
              <w:rPr>
                <w:rFonts w:eastAsia="Calibri"/>
              </w:rPr>
            </w:pPr>
            <w:r w:rsidRPr="00694410">
              <w:rPr>
                <w:rFonts w:eastAsia="Calibri"/>
              </w:rPr>
              <w:t xml:space="preserve">Поставка электроэнергии, оказание услуг по оперативно-диспетчерскому управлению, передаче и распределению электроэнергии, снабжению электроэнергией осуществляются по регулируемым тарифам, </w:t>
            </w:r>
            <w:r w:rsidRPr="00694410">
              <w:rPr>
                <w:rFonts w:eastAsia="Calibri"/>
              </w:rPr>
              <w:br/>
            </w:r>
            <w:r w:rsidRPr="00694410">
              <w:rPr>
                <w:rFonts w:eastAsia="Calibri"/>
              </w:rPr>
              <w:lastRenderedPageBreak/>
              <w:t>за исключением случая поставки электроэнергии по договору, одной стороной которого является производитель электроэнергии, использующий оборудование (установки), генерирующее (генерирующие) электрическую энергию из возобновляемых источников энергии установленной генерирующей мощностью в точке присоединения 300 (триста) и более киловатт (кроме гидроэлектростанций), а также работающий в режиме комбинированной выработки электрической и тепловой энергии.</w:t>
            </w:r>
          </w:p>
          <w:p w14:paraId="7ECF4628" w14:textId="77777777" w:rsidR="008E0E92" w:rsidRPr="00694410" w:rsidRDefault="008E0E92" w:rsidP="00694410">
            <w:pPr>
              <w:pStyle w:val="a4"/>
              <w:jc w:val="both"/>
            </w:pPr>
            <w:r w:rsidRPr="00694410">
              <w:rPr>
                <w:rFonts w:eastAsia="Calibri"/>
              </w:rPr>
              <w:t>…</w:t>
            </w:r>
          </w:p>
          <w:p w14:paraId="70C36311" w14:textId="77777777" w:rsidR="008E0E92" w:rsidRPr="00694410" w:rsidRDefault="008E0E92" w:rsidP="00694410">
            <w:pPr>
              <w:pStyle w:val="a4"/>
              <w:jc w:val="both"/>
            </w:pPr>
          </w:p>
          <w:p w14:paraId="12BC6ACE" w14:textId="4DD61935" w:rsidR="008E0E92" w:rsidRPr="00694410" w:rsidRDefault="008E0E92" w:rsidP="00694410">
            <w:pPr>
              <w:pStyle w:val="a4"/>
              <w:jc w:val="both"/>
            </w:pPr>
            <w:r w:rsidRPr="00694410">
              <w:t>Статья 27-1. Государственное регулирование в сфере использования                       генерирующего оборудования (установок), производящего (производящих) электрическую энергию из возобновляемых источников энергии</w:t>
            </w:r>
          </w:p>
          <w:p w14:paraId="615A1C67" w14:textId="77777777" w:rsidR="008E0E92" w:rsidRPr="00694410" w:rsidRDefault="008E0E92" w:rsidP="00694410">
            <w:pPr>
              <w:pStyle w:val="a4"/>
              <w:jc w:val="both"/>
              <w:rPr>
                <w:rFonts w:eastAsia="Calibri"/>
              </w:rPr>
            </w:pPr>
            <w:r w:rsidRPr="00694410">
              <w:t xml:space="preserve">2. </w:t>
            </w:r>
            <w:r w:rsidRPr="00694410">
              <w:rPr>
                <w:rFonts w:eastAsia="Calibri"/>
              </w:rPr>
              <w:t>Государственное регулирование в сфере использования генерирующего оборудования (установок), производящего (производящих) электрическую энергию из возобновляемых источников энергии, осуществляется путем:</w:t>
            </w:r>
          </w:p>
          <w:p w14:paraId="590084C4" w14:textId="77777777" w:rsidR="008E0E92" w:rsidRPr="00694410" w:rsidRDefault="008E0E92" w:rsidP="00694410">
            <w:pPr>
              <w:pStyle w:val="a4"/>
              <w:jc w:val="both"/>
              <w:rPr>
                <w:rFonts w:eastAsia="Calibri"/>
              </w:rPr>
            </w:pPr>
            <w:r w:rsidRPr="00694410">
              <w:rPr>
                <w:rFonts w:eastAsia="Calibri"/>
              </w:rPr>
              <w:t>а) обеспечения соблюдения лицензионных и иных требовании в сфере производства электрической энергии из возобновляемых источников энергии в целях ее продажи с использованием генерирующего оборудования (установок) установленной генерирующей мощностью в точке присоединения 300 (триста) и более киловатт, установленных законодательством Приднестровской Молдавской Республики;</w:t>
            </w:r>
          </w:p>
          <w:p w14:paraId="03F23BE2" w14:textId="77777777" w:rsidR="008E0E92" w:rsidRPr="00694410" w:rsidRDefault="008E0E92" w:rsidP="00694410">
            <w:pPr>
              <w:pStyle w:val="a4"/>
              <w:jc w:val="both"/>
            </w:pPr>
            <w:r w:rsidRPr="00694410">
              <w:t>…..</w:t>
            </w:r>
          </w:p>
          <w:p w14:paraId="7EEFF70F" w14:textId="77777777" w:rsidR="008E0E92" w:rsidRPr="00694410" w:rsidRDefault="008E0E92" w:rsidP="00694410">
            <w:pPr>
              <w:pStyle w:val="a4"/>
              <w:jc w:val="both"/>
              <w:rPr>
                <w:rFonts w:eastAsia="Calibri"/>
              </w:rPr>
            </w:pPr>
            <w:r w:rsidRPr="00694410">
              <w:rPr>
                <w:rFonts w:eastAsia="Calibri"/>
              </w:rPr>
              <w:t>в) государственного надзора и государственного контроля за безопасным выполнением работ при строительстве или реконструкции генерирующего оборудования (установок), производящего (производящих) электрическую энергию из возобновляемых источников энергии.</w:t>
            </w:r>
          </w:p>
          <w:p w14:paraId="56E5EFDC" w14:textId="77777777" w:rsidR="008E0E92" w:rsidRPr="00694410" w:rsidRDefault="008E0E92" w:rsidP="00694410">
            <w:pPr>
              <w:pStyle w:val="a4"/>
              <w:jc w:val="both"/>
            </w:pPr>
            <w:r w:rsidRPr="00694410">
              <w:t xml:space="preserve">Уполномоченный исполнительный орган государственной власти, в ведении которого находятся вопросы энергетики, в отношении юридических и физических лиц, производящих электроэнергию из возобновляемых источников энергии с использованием генерирующего </w:t>
            </w:r>
            <w:r w:rsidRPr="00694410">
              <w:lastRenderedPageBreak/>
              <w:t>оборудования генерирующей мощностью от 300 (трехсот) и более киловатт, определяет:</w:t>
            </w:r>
          </w:p>
          <w:p w14:paraId="4E2FBD0A" w14:textId="77777777" w:rsidR="008E0E92" w:rsidRPr="00694410" w:rsidRDefault="008E0E92" w:rsidP="00694410">
            <w:pPr>
              <w:pStyle w:val="a4"/>
              <w:jc w:val="both"/>
            </w:pPr>
            <w:r w:rsidRPr="00694410">
              <w:t>…</w:t>
            </w:r>
          </w:p>
        </w:tc>
      </w:tr>
    </w:tbl>
    <w:p w14:paraId="337BE58E" w14:textId="77777777" w:rsidR="008E0E92" w:rsidRPr="00694410" w:rsidRDefault="008E0E92" w:rsidP="00694410">
      <w:pPr>
        <w:pStyle w:val="a4"/>
        <w:jc w:val="both"/>
      </w:pPr>
    </w:p>
    <w:p w14:paraId="53424344" w14:textId="6E925FDF" w:rsidR="00B4660F" w:rsidRPr="00694410" w:rsidRDefault="00B4660F" w:rsidP="00694410">
      <w:pPr>
        <w:pStyle w:val="a4"/>
        <w:jc w:val="both"/>
      </w:pPr>
    </w:p>
    <w:sectPr w:rsidR="00B4660F" w:rsidRPr="00694410" w:rsidSect="0069441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C3100A1"/>
    <w:multiLevelType w:val="hybridMultilevel"/>
    <w:tmpl w:val="5142D77A"/>
    <w:lvl w:ilvl="0" w:tplc="71D2F84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3197"/>
    <w:rsid w:val="00010A79"/>
    <w:rsid w:val="00011D15"/>
    <w:rsid w:val="0002505B"/>
    <w:rsid w:val="00025BDE"/>
    <w:rsid w:val="00086A5C"/>
    <w:rsid w:val="00095E5C"/>
    <w:rsid w:val="00097BA2"/>
    <w:rsid w:val="000A28EA"/>
    <w:rsid w:val="000B4F4E"/>
    <w:rsid w:val="000C1596"/>
    <w:rsid w:val="000C7BDA"/>
    <w:rsid w:val="000D3DDF"/>
    <w:rsid w:val="000E57CC"/>
    <w:rsid w:val="00105724"/>
    <w:rsid w:val="001440C8"/>
    <w:rsid w:val="0014418B"/>
    <w:rsid w:val="00154003"/>
    <w:rsid w:val="001646B8"/>
    <w:rsid w:val="00177CEC"/>
    <w:rsid w:val="00187F90"/>
    <w:rsid w:val="001A0F2D"/>
    <w:rsid w:val="001A292F"/>
    <w:rsid w:val="001A391E"/>
    <w:rsid w:val="001A7679"/>
    <w:rsid w:val="001B5E87"/>
    <w:rsid w:val="001C1E9B"/>
    <w:rsid w:val="001C7E5C"/>
    <w:rsid w:val="001D6F4E"/>
    <w:rsid w:val="001F5D1A"/>
    <w:rsid w:val="0020060A"/>
    <w:rsid w:val="00202AA2"/>
    <w:rsid w:val="00210E7D"/>
    <w:rsid w:val="00226233"/>
    <w:rsid w:val="0023073C"/>
    <w:rsid w:val="00233161"/>
    <w:rsid w:val="00253A14"/>
    <w:rsid w:val="0027243F"/>
    <w:rsid w:val="00276323"/>
    <w:rsid w:val="00283B4A"/>
    <w:rsid w:val="002858B3"/>
    <w:rsid w:val="00293849"/>
    <w:rsid w:val="00294723"/>
    <w:rsid w:val="002A04F2"/>
    <w:rsid w:val="002B03BE"/>
    <w:rsid w:val="002B5957"/>
    <w:rsid w:val="002E4492"/>
    <w:rsid w:val="002E7896"/>
    <w:rsid w:val="002F0929"/>
    <w:rsid w:val="00333A30"/>
    <w:rsid w:val="00342A52"/>
    <w:rsid w:val="0034450A"/>
    <w:rsid w:val="00365D4C"/>
    <w:rsid w:val="003B0BE1"/>
    <w:rsid w:val="003B285D"/>
    <w:rsid w:val="003D12D6"/>
    <w:rsid w:val="003D6A33"/>
    <w:rsid w:val="00400C2E"/>
    <w:rsid w:val="0046288C"/>
    <w:rsid w:val="00466E0E"/>
    <w:rsid w:val="00476A86"/>
    <w:rsid w:val="004817AF"/>
    <w:rsid w:val="00490B97"/>
    <w:rsid w:val="004A1AD9"/>
    <w:rsid w:val="004B6A07"/>
    <w:rsid w:val="004C36A7"/>
    <w:rsid w:val="004E0B55"/>
    <w:rsid w:val="004E4F12"/>
    <w:rsid w:val="004E60F9"/>
    <w:rsid w:val="00517386"/>
    <w:rsid w:val="00517DF6"/>
    <w:rsid w:val="00523274"/>
    <w:rsid w:val="0052770F"/>
    <w:rsid w:val="0053007E"/>
    <w:rsid w:val="00554D94"/>
    <w:rsid w:val="005624C3"/>
    <w:rsid w:val="00565E41"/>
    <w:rsid w:val="00577289"/>
    <w:rsid w:val="00597307"/>
    <w:rsid w:val="005B2ED5"/>
    <w:rsid w:val="005B3353"/>
    <w:rsid w:val="005B39A0"/>
    <w:rsid w:val="005B784D"/>
    <w:rsid w:val="005C217F"/>
    <w:rsid w:val="005E2125"/>
    <w:rsid w:val="005E7445"/>
    <w:rsid w:val="005F76E9"/>
    <w:rsid w:val="00643F03"/>
    <w:rsid w:val="00680023"/>
    <w:rsid w:val="00694410"/>
    <w:rsid w:val="006A0F6D"/>
    <w:rsid w:val="006A3197"/>
    <w:rsid w:val="006A7531"/>
    <w:rsid w:val="006B27B3"/>
    <w:rsid w:val="006B66BC"/>
    <w:rsid w:val="006D5EB8"/>
    <w:rsid w:val="006D7AE3"/>
    <w:rsid w:val="006E1D40"/>
    <w:rsid w:val="006E1E0B"/>
    <w:rsid w:val="006E5A5F"/>
    <w:rsid w:val="006F615E"/>
    <w:rsid w:val="00752CF8"/>
    <w:rsid w:val="00754355"/>
    <w:rsid w:val="00757A49"/>
    <w:rsid w:val="00766303"/>
    <w:rsid w:val="007709B2"/>
    <w:rsid w:val="00790116"/>
    <w:rsid w:val="007969B1"/>
    <w:rsid w:val="007A0125"/>
    <w:rsid w:val="007A7148"/>
    <w:rsid w:val="007A770B"/>
    <w:rsid w:val="007C091F"/>
    <w:rsid w:val="007C62CA"/>
    <w:rsid w:val="007D3EF1"/>
    <w:rsid w:val="007E651B"/>
    <w:rsid w:val="007F06FD"/>
    <w:rsid w:val="0081352C"/>
    <w:rsid w:val="008138F4"/>
    <w:rsid w:val="00823026"/>
    <w:rsid w:val="00824930"/>
    <w:rsid w:val="00831D27"/>
    <w:rsid w:val="00835795"/>
    <w:rsid w:val="00847BDE"/>
    <w:rsid w:val="008503BC"/>
    <w:rsid w:val="00852B47"/>
    <w:rsid w:val="00853879"/>
    <w:rsid w:val="00873977"/>
    <w:rsid w:val="00875867"/>
    <w:rsid w:val="00881D7E"/>
    <w:rsid w:val="008822B7"/>
    <w:rsid w:val="00897CD5"/>
    <w:rsid w:val="008A4CDA"/>
    <w:rsid w:val="008D35B7"/>
    <w:rsid w:val="008E0E92"/>
    <w:rsid w:val="008E4813"/>
    <w:rsid w:val="00901A82"/>
    <w:rsid w:val="0090700F"/>
    <w:rsid w:val="00921992"/>
    <w:rsid w:val="00932C4B"/>
    <w:rsid w:val="009348BC"/>
    <w:rsid w:val="0095081B"/>
    <w:rsid w:val="00950946"/>
    <w:rsid w:val="00950D0B"/>
    <w:rsid w:val="00953737"/>
    <w:rsid w:val="00955DAE"/>
    <w:rsid w:val="00955E26"/>
    <w:rsid w:val="00967DE0"/>
    <w:rsid w:val="009842B0"/>
    <w:rsid w:val="009B0049"/>
    <w:rsid w:val="009D78EA"/>
    <w:rsid w:val="009F551E"/>
    <w:rsid w:val="00A13A50"/>
    <w:rsid w:val="00A270E1"/>
    <w:rsid w:val="00A373F9"/>
    <w:rsid w:val="00A4300A"/>
    <w:rsid w:val="00A45B2C"/>
    <w:rsid w:val="00A522CB"/>
    <w:rsid w:val="00A5350A"/>
    <w:rsid w:val="00A612AA"/>
    <w:rsid w:val="00A84DA9"/>
    <w:rsid w:val="00A91950"/>
    <w:rsid w:val="00AA0CE8"/>
    <w:rsid w:val="00AA3A8B"/>
    <w:rsid w:val="00AB03A9"/>
    <w:rsid w:val="00B25B2C"/>
    <w:rsid w:val="00B342D7"/>
    <w:rsid w:val="00B37607"/>
    <w:rsid w:val="00B4660F"/>
    <w:rsid w:val="00B5692F"/>
    <w:rsid w:val="00B5743F"/>
    <w:rsid w:val="00B62A8F"/>
    <w:rsid w:val="00B721BB"/>
    <w:rsid w:val="00B74834"/>
    <w:rsid w:val="00B8567E"/>
    <w:rsid w:val="00B915C5"/>
    <w:rsid w:val="00BA1653"/>
    <w:rsid w:val="00BB1112"/>
    <w:rsid w:val="00BD54D7"/>
    <w:rsid w:val="00BD5CEB"/>
    <w:rsid w:val="00BE13F4"/>
    <w:rsid w:val="00BE5F77"/>
    <w:rsid w:val="00C113FB"/>
    <w:rsid w:val="00C460CD"/>
    <w:rsid w:val="00C56214"/>
    <w:rsid w:val="00C76E4D"/>
    <w:rsid w:val="00C8015D"/>
    <w:rsid w:val="00C870B0"/>
    <w:rsid w:val="00C97398"/>
    <w:rsid w:val="00CA6D35"/>
    <w:rsid w:val="00CB5433"/>
    <w:rsid w:val="00CC1BE7"/>
    <w:rsid w:val="00CC56EF"/>
    <w:rsid w:val="00CC796D"/>
    <w:rsid w:val="00CD077D"/>
    <w:rsid w:val="00CD0BF5"/>
    <w:rsid w:val="00CD4A35"/>
    <w:rsid w:val="00CF697F"/>
    <w:rsid w:val="00D0407B"/>
    <w:rsid w:val="00D47BC8"/>
    <w:rsid w:val="00D47C6E"/>
    <w:rsid w:val="00D66A59"/>
    <w:rsid w:val="00D80C4C"/>
    <w:rsid w:val="00DB39BF"/>
    <w:rsid w:val="00DE0E32"/>
    <w:rsid w:val="00DE7F29"/>
    <w:rsid w:val="00DF381C"/>
    <w:rsid w:val="00DF7F12"/>
    <w:rsid w:val="00E00615"/>
    <w:rsid w:val="00E02B80"/>
    <w:rsid w:val="00E054B3"/>
    <w:rsid w:val="00E129C6"/>
    <w:rsid w:val="00E77FFB"/>
    <w:rsid w:val="00E84E9D"/>
    <w:rsid w:val="00E92A98"/>
    <w:rsid w:val="00E94FCC"/>
    <w:rsid w:val="00EA1FC7"/>
    <w:rsid w:val="00EA47B2"/>
    <w:rsid w:val="00EC25C4"/>
    <w:rsid w:val="00EE52DD"/>
    <w:rsid w:val="00EF73F2"/>
    <w:rsid w:val="00F00671"/>
    <w:rsid w:val="00F03612"/>
    <w:rsid w:val="00F0756A"/>
    <w:rsid w:val="00F33720"/>
    <w:rsid w:val="00F37DE4"/>
    <w:rsid w:val="00F63006"/>
    <w:rsid w:val="00F63678"/>
    <w:rsid w:val="00F64088"/>
    <w:rsid w:val="00F71308"/>
    <w:rsid w:val="00F76790"/>
    <w:rsid w:val="00F81D3F"/>
    <w:rsid w:val="00F93ABC"/>
    <w:rsid w:val="00FC7776"/>
    <w:rsid w:val="00FF12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334ED1"/>
  <w15:docId w15:val="{793EE32B-0EBB-4AD7-902F-9DD0AD1F9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E0E9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173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uiPriority w:val="1"/>
    <w:qFormat/>
    <w:rsid w:val="00517386"/>
    <w:pPr>
      <w:spacing w:after="0" w:line="240" w:lineRule="auto"/>
    </w:pPr>
    <w:rPr>
      <w:rFonts w:ascii="Times New Roman" w:eastAsia="Times New Roman" w:hAnsi="Times New Roman" w:cs="Times New Roman"/>
      <w:sz w:val="24"/>
      <w:szCs w:val="24"/>
      <w:lang w:eastAsia="ru-RU"/>
    </w:rPr>
  </w:style>
  <w:style w:type="paragraph" w:styleId="a5">
    <w:name w:val="Plain Text"/>
    <w:aliases w:val="Текст Знак1 Знак,Текст Знак Знак Знак,Знак Знак Знак Знак,Текст Знак1,Знак Знак Знак, Знак Знак Знак Знак, Знак,Знак,Текст Знак2,Текст Знак1 Знак Знак,Текст Знак Знак Знак Знак,Знак Знак Знак Знак Знак,Знак Знак Знак Знак1, Знак Знак,Зн, ,Знак3,З"/>
    <w:basedOn w:val="a"/>
    <w:link w:val="3"/>
    <w:uiPriority w:val="99"/>
    <w:rsid w:val="00517386"/>
    <w:pPr>
      <w:spacing w:after="0" w:line="240" w:lineRule="auto"/>
    </w:pPr>
    <w:rPr>
      <w:rFonts w:ascii="Courier New" w:eastAsia="Times New Roman" w:hAnsi="Courier New" w:cs="Courier New"/>
      <w:sz w:val="20"/>
      <w:szCs w:val="20"/>
      <w:lang w:eastAsia="ru-RU"/>
    </w:rPr>
  </w:style>
  <w:style w:type="character" w:customStyle="1" w:styleId="a6">
    <w:name w:val="Текст Знак"/>
    <w:basedOn w:val="a0"/>
    <w:uiPriority w:val="99"/>
    <w:semiHidden/>
    <w:rsid w:val="00517386"/>
    <w:rPr>
      <w:rFonts w:ascii="Consolas" w:hAnsi="Consolas"/>
      <w:sz w:val="21"/>
      <w:szCs w:val="21"/>
    </w:rPr>
  </w:style>
  <w:style w:type="character" w:customStyle="1" w:styleId="3">
    <w:name w:val="Текст Знак3"/>
    <w:aliases w:val="Текст Знак1 Знак Знак1,Текст Знак Знак Знак Знак1,Знак Знак Знак Знак Знак1,Текст Знак1 Знак1,Знак Знак Знак Знак2, Знак Знак Знак Знак Знак, Знак Знак1,Знак Знак,Текст Знак2 Знак,Текст Знак1 Знак Знак Знак,Текст Знак Знак Знак Знак Знак"/>
    <w:link w:val="a5"/>
    <w:uiPriority w:val="99"/>
    <w:locked/>
    <w:rsid w:val="00517386"/>
    <w:rPr>
      <w:rFonts w:ascii="Courier New" w:eastAsia="Times New Roman" w:hAnsi="Courier New" w:cs="Courier New"/>
      <w:sz w:val="20"/>
      <w:szCs w:val="20"/>
      <w:lang w:eastAsia="ru-RU"/>
    </w:rPr>
  </w:style>
  <w:style w:type="paragraph" w:customStyle="1" w:styleId="1">
    <w:name w:val="Без интервала1"/>
    <w:link w:val="NoSpacingChar"/>
    <w:rsid w:val="00517386"/>
    <w:pPr>
      <w:spacing w:after="0" w:line="240" w:lineRule="auto"/>
    </w:pPr>
    <w:rPr>
      <w:rFonts w:ascii="Calibri" w:eastAsia="Times New Roman" w:hAnsi="Calibri" w:cs="Times New Roman"/>
      <w:lang w:eastAsia="ru-RU"/>
    </w:rPr>
  </w:style>
  <w:style w:type="character" w:customStyle="1" w:styleId="NoSpacingChar">
    <w:name w:val="No Spacing Char"/>
    <w:link w:val="1"/>
    <w:locked/>
    <w:rsid w:val="00517386"/>
    <w:rPr>
      <w:rFonts w:ascii="Calibri" w:eastAsia="Times New Roman" w:hAnsi="Calibri" w:cs="Times New Roman"/>
      <w:lang w:eastAsia="ru-RU"/>
    </w:rPr>
  </w:style>
  <w:style w:type="paragraph" w:styleId="a7">
    <w:name w:val="List Paragraph"/>
    <w:basedOn w:val="a"/>
    <w:uiPriority w:val="34"/>
    <w:qFormat/>
    <w:rsid w:val="00517386"/>
    <w:pPr>
      <w:spacing w:after="200" w:line="276" w:lineRule="auto"/>
      <w:ind w:left="720"/>
      <w:contextualSpacing/>
    </w:pPr>
    <w:rPr>
      <w:rFonts w:eastAsiaTheme="minorEastAsia"/>
      <w:lang w:eastAsia="ru-RU"/>
    </w:rPr>
  </w:style>
  <w:style w:type="paragraph" w:styleId="a8">
    <w:name w:val="Normal (Web)"/>
    <w:aliases w:val="Знак Знак3,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
    <w:basedOn w:val="a"/>
    <w:link w:val="a9"/>
    <w:uiPriority w:val="99"/>
    <w:unhideWhenUsed/>
    <w:qFormat/>
    <w:rsid w:val="0051738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lk">
    <w:name w:val="blk"/>
    <w:basedOn w:val="a0"/>
    <w:rsid w:val="00517386"/>
  </w:style>
  <w:style w:type="paragraph" w:styleId="aa">
    <w:name w:val="Balloon Text"/>
    <w:basedOn w:val="a"/>
    <w:link w:val="ab"/>
    <w:uiPriority w:val="99"/>
    <w:semiHidden/>
    <w:unhideWhenUsed/>
    <w:rsid w:val="00177CEC"/>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177CEC"/>
    <w:rPr>
      <w:rFonts w:ascii="Segoe UI" w:hAnsi="Segoe UI" w:cs="Segoe UI"/>
      <w:sz w:val="18"/>
      <w:szCs w:val="18"/>
    </w:rPr>
  </w:style>
  <w:style w:type="character" w:customStyle="1" w:styleId="a9">
    <w:name w:val="Обычный (веб) Знак"/>
    <w:aliases w:val="Знак Знак3 Знак,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
    <w:link w:val="a8"/>
    <w:uiPriority w:val="99"/>
    <w:locked/>
    <w:rsid w:val="00A4300A"/>
    <w:rPr>
      <w:rFonts w:ascii="Times New Roman" w:eastAsia="Times New Roman" w:hAnsi="Times New Roman" w:cs="Times New Roman"/>
      <w:sz w:val="24"/>
      <w:szCs w:val="24"/>
      <w:lang w:eastAsia="ru-RU"/>
    </w:rPr>
  </w:style>
  <w:style w:type="character" w:customStyle="1" w:styleId="2">
    <w:name w:val="Основной текст (2)_"/>
    <w:link w:val="20"/>
    <w:locked/>
    <w:rsid w:val="00A4300A"/>
    <w:rPr>
      <w:sz w:val="28"/>
      <w:szCs w:val="28"/>
      <w:shd w:val="clear" w:color="auto" w:fill="FFFFFF"/>
    </w:rPr>
  </w:style>
  <w:style w:type="paragraph" w:customStyle="1" w:styleId="20">
    <w:name w:val="Основной текст (2)"/>
    <w:basedOn w:val="a"/>
    <w:link w:val="2"/>
    <w:qFormat/>
    <w:rsid w:val="00A4300A"/>
    <w:pPr>
      <w:widowControl w:val="0"/>
      <w:shd w:val="clear" w:color="auto" w:fill="FFFFFF"/>
      <w:tabs>
        <w:tab w:val="left" w:pos="708"/>
      </w:tabs>
      <w:spacing w:before="300" w:after="120" w:line="0" w:lineRule="atLeast"/>
    </w:pPr>
    <w:rPr>
      <w:sz w:val="28"/>
      <w:szCs w:val="28"/>
    </w:rPr>
  </w:style>
  <w:style w:type="paragraph" w:styleId="ac">
    <w:name w:val="Body Text"/>
    <w:basedOn w:val="a"/>
    <w:link w:val="ad"/>
    <w:uiPriority w:val="99"/>
    <w:rsid w:val="00A4300A"/>
    <w:pPr>
      <w:spacing w:after="0" w:line="240" w:lineRule="auto"/>
      <w:jc w:val="both"/>
    </w:pPr>
    <w:rPr>
      <w:rFonts w:ascii="Times New Roman" w:eastAsia="Times New Roman" w:hAnsi="Times New Roman" w:cs="Times New Roman"/>
      <w:sz w:val="24"/>
      <w:szCs w:val="20"/>
      <w:lang w:eastAsia="ru-RU"/>
    </w:rPr>
  </w:style>
  <w:style w:type="character" w:customStyle="1" w:styleId="ad">
    <w:name w:val="Основной текст Знак"/>
    <w:basedOn w:val="a0"/>
    <w:link w:val="ac"/>
    <w:uiPriority w:val="99"/>
    <w:rsid w:val="00A4300A"/>
    <w:rPr>
      <w:rFonts w:ascii="Times New Roman" w:eastAsia="Times New Roman" w:hAnsi="Times New Roman" w:cs="Times New Roman"/>
      <w:sz w:val="24"/>
      <w:szCs w:val="20"/>
      <w:lang w:eastAsia="ru-RU"/>
    </w:rPr>
  </w:style>
  <w:style w:type="character" w:customStyle="1" w:styleId="4">
    <w:name w:val="Основной текст (4)_"/>
    <w:link w:val="41"/>
    <w:rsid w:val="005B3353"/>
    <w:rPr>
      <w:rFonts w:ascii="Calibri" w:eastAsia="Calibri" w:hAnsi="Calibri" w:cs="Times New Roman"/>
      <w:sz w:val="26"/>
      <w:szCs w:val="26"/>
      <w:shd w:val="clear" w:color="auto" w:fill="FFFFFF"/>
    </w:rPr>
  </w:style>
  <w:style w:type="paragraph" w:customStyle="1" w:styleId="41">
    <w:name w:val="Основной текст (4)1"/>
    <w:basedOn w:val="a"/>
    <w:link w:val="4"/>
    <w:rsid w:val="005B3353"/>
    <w:pPr>
      <w:shd w:val="clear" w:color="auto" w:fill="FFFFFF"/>
      <w:spacing w:before="720" w:after="360" w:line="240" w:lineRule="atLeast"/>
    </w:pPr>
    <w:rPr>
      <w:rFonts w:ascii="Calibri" w:eastAsia="Calibri" w:hAnsi="Calibri" w:cs="Times New Roman"/>
      <w:sz w:val="26"/>
      <w:szCs w:val="26"/>
    </w:rPr>
  </w:style>
  <w:style w:type="paragraph" w:customStyle="1" w:styleId="head">
    <w:name w:val="head"/>
    <w:basedOn w:val="a"/>
    <w:rsid w:val="00490B97"/>
    <w:pPr>
      <w:spacing w:before="100" w:beforeAutospacing="1" w:after="100" w:afterAutospacing="1" w:line="240" w:lineRule="auto"/>
      <w:jc w:val="center"/>
    </w:pPr>
    <w:rPr>
      <w:rFonts w:ascii="Times New Roman" w:eastAsia="Times New Roman" w:hAnsi="Times New Roman" w:cs="Times New Roman"/>
      <w:sz w:val="28"/>
      <w:szCs w:val="20"/>
      <w:lang w:eastAsia="ru-RU"/>
    </w:rPr>
  </w:style>
  <w:style w:type="character" w:styleId="ae">
    <w:name w:val="Hyperlink"/>
    <w:uiPriority w:val="99"/>
    <w:rsid w:val="008E0E9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34843">
      <w:bodyDiv w:val="1"/>
      <w:marLeft w:val="0"/>
      <w:marRight w:val="0"/>
      <w:marTop w:val="0"/>
      <w:marBottom w:val="0"/>
      <w:divBdr>
        <w:top w:val="none" w:sz="0" w:space="0" w:color="auto"/>
        <w:left w:val="none" w:sz="0" w:space="0" w:color="auto"/>
        <w:bottom w:val="none" w:sz="0" w:space="0" w:color="auto"/>
        <w:right w:val="none" w:sz="0" w:space="0" w:color="auto"/>
      </w:divBdr>
    </w:div>
    <w:div w:id="84805739">
      <w:bodyDiv w:val="1"/>
      <w:marLeft w:val="0"/>
      <w:marRight w:val="0"/>
      <w:marTop w:val="0"/>
      <w:marBottom w:val="0"/>
      <w:divBdr>
        <w:top w:val="none" w:sz="0" w:space="0" w:color="auto"/>
        <w:left w:val="none" w:sz="0" w:space="0" w:color="auto"/>
        <w:bottom w:val="none" w:sz="0" w:space="0" w:color="auto"/>
        <w:right w:val="none" w:sz="0" w:space="0" w:color="auto"/>
      </w:divBdr>
    </w:div>
    <w:div w:id="518349630">
      <w:bodyDiv w:val="1"/>
      <w:marLeft w:val="0"/>
      <w:marRight w:val="0"/>
      <w:marTop w:val="0"/>
      <w:marBottom w:val="0"/>
      <w:divBdr>
        <w:top w:val="none" w:sz="0" w:space="0" w:color="auto"/>
        <w:left w:val="none" w:sz="0" w:space="0" w:color="auto"/>
        <w:bottom w:val="none" w:sz="0" w:space="0" w:color="auto"/>
        <w:right w:val="none" w:sz="0" w:space="0" w:color="auto"/>
      </w:divBdr>
    </w:div>
    <w:div w:id="621613244">
      <w:bodyDiv w:val="1"/>
      <w:marLeft w:val="0"/>
      <w:marRight w:val="0"/>
      <w:marTop w:val="0"/>
      <w:marBottom w:val="0"/>
      <w:divBdr>
        <w:top w:val="none" w:sz="0" w:space="0" w:color="auto"/>
        <w:left w:val="none" w:sz="0" w:space="0" w:color="auto"/>
        <w:bottom w:val="none" w:sz="0" w:space="0" w:color="auto"/>
        <w:right w:val="none" w:sz="0" w:space="0" w:color="auto"/>
      </w:divBdr>
    </w:div>
    <w:div w:id="838232165">
      <w:bodyDiv w:val="1"/>
      <w:marLeft w:val="0"/>
      <w:marRight w:val="0"/>
      <w:marTop w:val="0"/>
      <w:marBottom w:val="0"/>
      <w:divBdr>
        <w:top w:val="none" w:sz="0" w:space="0" w:color="auto"/>
        <w:left w:val="none" w:sz="0" w:space="0" w:color="auto"/>
        <w:bottom w:val="none" w:sz="0" w:space="0" w:color="auto"/>
        <w:right w:val="none" w:sz="0" w:space="0" w:color="auto"/>
      </w:divBdr>
    </w:div>
    <w:div w:id="872617273">
      <w:bodyDiv w:val="1"/>
      <w:marLeft w:val="0"/>
      <w:marRight w:val="0"/>
      <w:marTop w:val="0"/>
      <w:marBottom w:val="0"/>
      <w:divBdr>
        <w:top w:val="none" w:sz="0" w:space="0" w:color="auto"/>
        <w:left w:val="none" w:sz="0" w:space="0" w:color="auto"/>
        <w:bottom w:val="none" w:sz="0" w:space="0" w:color="auto"/>
        <w:right w:val="none" w:sz="0" w:space="0" w:color="auto"/>
      </w:divBdr>
    </w:div>
    <w:div w:id="890771166">
      <w:bodyDiv w:val="1"/>
      <w:marLeft w:val="0"/>
      <w:marRight w:val="0"/>
      <w:marTop w:val="0"/>
      <w:marBottom w:val="0"/>
      <w:divBdr>
        <w:top w:val="none" w:sz="0" w:space="0" w:color="auto"/>
        <w:left w:val="none" w:sz="0" w:space="0" w:color="auto"/>
        <w:bottom w:val="none" w:sz="0" w:space="0" w:color="auto"/>
        <w:right w:val="none" w:sz="0" w:space="0" w:color="auto"/>
      </w:divBdr>
    </w:div>
    <w:div w:id="928929749">
      <w:bodyDiv w:val="1"/>
      <w:marLeft w:val="0"/>
      <w:marRight w:val="0"/>
      <w:marTop w:val="0"/>
      <w:marBottom w:val="0"/>
      <w:divBdr>
        <w:top w:val="none" w:sz="0" w:space="0" w:color="auto"/>
        <w:left w:val="none" w:sz="0" w:space="0" w:color="auto"/>
        <w:bottom w:val="none" w:sz="0" w:space="0" w:color="auto"/>
        <w:right w:val="none" w:sz="0" w:space="0" w:color="auto"/>
      </w:divBdr>
    </w:div>
    <w:div w:id="1238443047">
      <w:bodyDiv w:val="1"/>
      <w:marLeft w:val="0"/>
      <w:marRight w:val="0"/>
      <w:marTop w:val="0"/>
      <w:marBottom w:val="0"/>
      <w:divBdr>
        <w:top w:val="none" w:sz="0" w:space="0" w:color="auto"/>
        <w:left w:val="none" w:sz="0" w:space="0" w:color="auto"/>
        <w:bottom w:val="none" w:sz="0" w:space="0" w:color="auto"/>
        <w:right w:val="none" w:sz="0" w:space="0" w:color="auto"/>
      </w:divBdr>
    </w:div>
    <w:div w:id="1462844577">
      <w:bodyDiv w:val="1"/>
      <w:marLeft w:val="0"/>
      <w:marRight w:val="0"/>
      <w:marTop w:val="0"/>
      <w:marBottom w:val="0"/>
      <w:divBdr>
        <w:top w:val="none" w:sz="0" w:space="0" w:color="auto"/>
        <w:left w:val="none" w:sz="0" w:space="0" w:color="auto"/>
        <w:bottom w:val="none" w:sz="0" w:space="0" w:color="auto"/>
        <w:right w:val="none" w:sz="0" w:space="0" w:color="auto"/>
      </w:divBdr>
    </w:div>
    <w:div w:id="1469007470">
      <w:bodyDiv w:val="1"/>
      <w:marLeft w:val="0"/>
      <w:marRight w:val="0"/>
      <w:marTop w:val="0"/>
      <w:marBottom w:val="0"/>
      <w:divBdr>
        <w:top w:val="none" w:sz="0" w:space="0" w:color="auto"/>
        <w:left w:val="none" w:sz="0" w:space="0" w:color="auto"/>
        <w:bottom w:val="none" w:sz="0" w:space="0" w:color="auto"/>
        <w:right w:val="none" w:sz="0" w:space="0" w:color="auto"/>
      </w:divBdr>
    </w:div>
    <w:div w:id="2040929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65A5EA-D7B2-4D72-82C0-E6E626C014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3</Pages>
  <Words>999</Words>
  <Characters>5700</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Трандафилова Надежда Константиновна</dc:creator>
  <cp:lastModifiedBy>Гончар Елена Дмитриевна</cp:lastModifiedBy>
  <cp:revision>10</cp:revision>
  <cp:lastPrinted>2025-11-18T14:54:00Z</cp:lastPrinted>
  <dcterms:created xsi:type="dcterms:W3CDTF">2025-11-17T13:18:00Z</dcterms:created>
  <dcterms:modified xsi:type="dcterms:W3CDTF">2025-12-04T14:24:00Z</dcterms:modified>
</cp:coreProperties>
</file>