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FEE76" w14:textId="77777777" w:rsidR="00CA4E35" w:rsidRPr="008D0ABE" w:rsidRDefault="00CA4E35" w:rsidP="008D0ABE">
      <w:pPr>
        <w:pStyle w:val="af2"/>
        <w:jc w:val="both"/>
        <w:rPr>
          <w:sz w:val="24"/>
          <w:szCs w:val="24"/>
        </w:rPr>
      </w:pPr>
      <w:r w:rsidRPr="008D0ABE">
        <w:rPr>
          <w:sz w:val="24"/>
          <w:szCs w:val="24"/>
        </w:rPr>
        <w:t xml:space="preserve">Сравнительная таблица </w:t>
      </w:r>
    </w:p>
    <w:p w14:paraId="01F6AAF4" w14:textId="77777777" w:rsidR="00DB2546" w:rsidRPr="008D0ABE" w:rsidRDefault="00CA4E35" w:rsidP="008D0ABE">
      <w:pPr>
        <w:pStyle w:val="af2"/>
        <w:jc w:val="both"/>
        <w:rPr>
          <w:sz w:val="24"/>
          <w:szCs w:val="24"/>
        </w:rPr>
      </w:pPr>
      <w:r w:rsidRPr="008D0ABE">
        <w:rPr>
          <w:sz w:val="24"/>
          <w:szCs w:val="24"/>
        </w:rPr>
        <w:t xml:space="preserve">к проекту закона Приднестровской Молдавской Республики </w:t>
      </w:r>
    </w:p>
    <w:p w14:paraId="4A0869E1" w14:textId="77777777" w:rsidR="00DB2546" w:rsidRPr="008D0ABE" w:rsidRDefault="00CA4E35" w:rsidP="008D0ABE">
      <w:pPr>
        <w:pStyle w:val="af2"/>
        <w:jc w:val="both"/>
        <w:rPr>
          <w:sz w:val="24"/>
          <w:szCs w:val="24"/>
        </w:rPr>
      </w:pPr>
      <w:r w:rsidRPr="008D0ABE">
        <w:rPr>
          <w:sz w:val="24"/>
          <w:szCs w:val="24"/>
        </w:rPr>
        <w:t xml:space="preserve">«О внесении изменений и дополнения в Закон </w:t>
      </w:r>
      <w:bookmarkStart w:id="0" w:name="_GoBack"/>
      <w:bookmarkEnd w:id="0"/>
    </w:p>
    <w:p w14:paraId="7F48F5B4" w14:textId="6F09121A" w:rsidR="00BF6FAA" w:rsidRPr="008D0ABE" w:rsidRDefault="00CA4E35" w:rsidP="008D0ABE">
      <w:pPr>
        <w:pStyle w:val="af2"/>
        <w:jc w:val="both"/>
        <w:rPr>
          <w:sz w:val="24"/>
          <w:szCs w:val="24"/>
        </w:rPr>
      </w:pPr>
      <w:r w:rsidRPr="008D0ABE">
        <w:rPr>
          <w:sz w:val="24"/>
          <w:szCs w:val="24"/>
        </w:rPr>
        <w:t xml:space="preserve">Приднестровской Молдавской Республики </w:t>
      </w:r>
    </w:p>
    <w:p w14:paraId="6DDC285D" w14:textId="452D8B62" w:rsidR="00CA4E35" w:rsidRPr="008D0ABE" w:rsidRDefault="00CA4E35" w:rsidP="008D0ABE">
      <w:pPr>
        <w:pStyle w:val="af2"/>
        <w:jc w:val="both"/>
        <w:rPr>
          <w:sz w:val="24"/>
          <w:szCs w:val="24"/>
        </w:rPr>
      </w:pPr>
      <w:r w:rsidRPr="008D0ABE">
        <w:rPr>
          <w:sz w:val="24"/>
          <w:szCs w:val="24"/>
        </w:rPr>
        <w:t>«О социальной защите инвалидов»</w:t>
      </w:r>
    </w:p>
    <w:p w14:paraId="0B4F2853" w14:textId="77777777" w:rsidR="00BF6FAA" w:rsidRPr="008D0ABE" w:rsidRDefault="00BF6FAA" w:rsidP="008D0ABE">
      <w:pPr>
        <w:pStyle w:val="af2"/>
        <w:jc w:val="both"/>
        <w:rPr>
          <w:sz w:val="24"/>
          <w:szCs w:val="24"/>
        </w:rPr>
      </w:pPr>
    </w:p>
    <w:tbl>
      <w:tblPr>
        <w:tblStyle w:val="a6"/>
        <w:tblW w:w="10632" w:type="dxa"/>
        <w:tblInd w:w="-601" w:type="dxa"/>
        <w:tblLook w:val="04A0" w:firstRow="1" w:lastRow="0" w:firstColumn="1" w:lastColumn="0" w:noHBand="0" w:noVBand="1"/>
      </w:tblPr>
      <w:tblGrid>
        <w:gridCol w:w="5387"/>
        <w:gridCol w:w="5245"/>
      </w:tblGrid>
      <w:tr w:rsidR="00CA4E35" w:rsidRPr="008D0ABE" w14:paraId="7D20261F" w14:textId="77777777" w:rsidTr="0033555E">
        <w:tc>
          <w:tcPr>
            <w:tcW w:w="5387" w:type="dxa"/>
          </w:tcPr>
          <w:p w14:paraId="5DAD17A2" w14:textId="77777777" w:rsidR="00CA4E35" w:rsidRPr="008D0ABE" w:rsidRDefault="00CA4E35" w:rsidP="008D0ABE">
            <w:pPr>
              <w:pStyle w:val="af2"/>
              <w:jc w:val="both"/>
              <w:rPr>
                <w:sz w:val="24"/>
                <w:szCs w:val="24"/>
              </w:rPr>
            </w:pPr>
            <w:r w:rsidRPr="008D0ABE">
              <w:rPr>
                <w:sz w:val="24"/>
                <w:szCs w:val="24"/>
              </w:rPr>
              <w:t>Действующая редакция</w:t>
            </w:r>
          </w:p>
        </w:tc>
        <w:tc>
          <w:tcPr>
            <w:tcW w:w="5245" w:type="dxa"/>
          </w:tcPr>
          <w:p w14:paraId="54708EB9" w14:textId="77777777" w:rsidR="00CA4E35" w:rsidRPr="008D0ABE" w:rsidRDefault="00CA4E35" w:rsidP="008D0ABE">
            <w:pPr>
              <w:pStyle w:val="af2"/>
              <w:jc w:val="both"/>
              <w:rPr>
                <w:sz w:val="24"/>
                <w:szCs w:val="24"/>
              </w:rPr>
            </w:pPr>
            <w:r w:rsidRPr="008D0ABE">
              <w:rPr>
                <w:sz w:val="24"/>
                <w:szCs w:val="24"/>
              </w:rPr>
              <w:t>Предлагаемая редакция</w:t>
            </w:r>
          </w:p>
        </w:tc>
      </w:tr>
      <w:tr w:rsidR="00CA4E35" w:rsidRPr="008D0ABE" w14:paraId="6C4905EA" w14:textId="77777777" w:rsidTr="0033555E">
        <w:tc>
          <w:tcPr>
            <w:tcW w:w="5387" w:type="dxa"/>
          </w:tcPr>
          <w:p w14:paraId="55636813" w14:textId="77777777" w:rsidR="00CA4E35" w:rsidRPr="008D0ABE" w:rsidRDefault="00CA4E35" w:rsidP="008D0ABE">
            <w:pPr>
              <w:pStyle w:val="af2"/>
              <w:jc w:val="both"/>
              <w:rPr>
                <w:sz w:val="24"/>
                <w:szCs w:val="24"/>
              </w:rPr>
            </w:pPr>
            <w:r w:rsidRPr="008D0ABE">
              <w:rPr>
                <w:sz w:val="24"/>
                <w:szCs w:val="24"/>
              </w:rPr>
              <w:t>Статья 6. Действие настоящего Закона по кругу лиц, порядок сохранения льгот</w:t>
            </w:r>
          </w:p>
          <w:p w14:paraId="619C81A2" w14:textId="77777777" w:rsidR="00CA4E35" w:rsidRPr="008D0ABE" w:rsidRDefault="00CA4E35" w:rsidP="008D0ABE">
            <w:pPr>
              <w:pStyle w:val="af2"/>
              <w:jc w:val="both"/>
              <w:rPr>
                <w:sz w:val="24"/>
                <w:szCs w:val="24"/>
              </w:rPr>
            </w:pPr>
            <w:r w:rsidRPr="008D0ABE">
              <w:rPr>
                <w:sz w:val="24"/>
                <w:szCs w:val="24"/>
              </w:rPr>
              <w:t>…</w:t>
            </w:r>
          </w:p>
          <w:p w14:paraId="4C2610CC" w14:textId="03BC8AE0" w:rsidR="00CA4E35" w:rsidRPr="008D0ABE" w:rsidRDefault="00CA4E35" w:rsidP="008D0ABE">
            <w:pPr>
              <w:pStyle w:val="af2"/>
              <w:jc w:val="both"/>
              <w:rPr>
                <w:sz w:val="24"/>
                <w:szCs w:val="24"/>
                <w:highlight w:val="yellow"/>
              </w:rPr>
            </w:pPr>
            <w:r w:rsidRPr="008D0ABE">
              <w:rPr>
                <w:sz w:val="24"/>
                <w:szCs w:val="24"/>
              </w:rPr>
              <w:t>3.</w:t>
            </w:r>
            <w:r w:rsidR="004D7024" w:rsidRPr="008D0ABE">
              <w:rPr>
                <w:sz w:val="24"/>
                <w:szCs w:val="24"/>
              </w:rPr>
              <w:t xml:space="preserve"> </w:t>
            </w:r>
            <w:r w:rsidRPr="008D0ABE">
              <w:rPr>
                <w:sz w:val="24"/>
                <w:szCs w:val="24"/>
              </w:rPr>
              <w:t>Отсутствует</w:t>
            </w:r>
            <w:r w:rsidR="004D7024" w:rsidRPr="008D0ABE">
              <w:rPr>
                <w:sz w:val="24"/>
                <w:szCs w:val="24"/>
              </w:rPr>
              <w:t>.</w:t>
            </w:r>
          </w:p>
        </w:tc>
        <w:tc>
          <w:tcPr>
            <w:tcW w:w="5245" w:type="dxa"/>
          </w:tcPr>
          <w:p w14:paraId="6B5F3FFE" w14:textId="77777777" w:rsidR="00CA4E35" w:rsidRPr="008D0ABE" w:rsidRDefault="00CA4E35" w:rsidP="008D0ABE">
            <w:pPr>
              <w:pStyle w:val="af2"/>
              <w:jc w:val="both"/>
              <w:rPr>
                <w:sz w:val="24"/>
                <w:szCs w:val="24"/>
              </w:rPr>
            </w:pPr>
            <w:r w:rsidRPr="008D0ABE">
              <w:rPr>
                <w:sz w:val="24"/>
                <w:szCs w:val="24"/>
              </w:rPr>
              <w:t>Статья 6. Действие настоящего Закона по кругу лиц, порядок сохранения льгот</w:t>
            </w:r>
          </w:p>
          <w:p w14:paraId="4026E3F7" w14:textId="77777777" w:rsidR="00CA4E35" w:rsidRPr="008D0ABE" w:rsidRDefault="00CA4E35" w:rsidP="008D0ABE">
            <w:pPr>
              <w:pStyle w:val="af2"/>
              <w:jc w:val="both"/>
              <w:rPr>
                <w:sz w:val="24"/>
                <w:szCs w:val="24"/>
              </w:rPr>
            </w:pPr>
            <w:r w:rsidRPr="008D0ABE">
              <w:rPr>
                <w:sz w:val="24"/>
                <w:szCs w:val="24"/>
              </w:rPr>
              <w:t>…</w:t>
            </w:r>
          </w:p>
          <w:p w14:paraId="2F045BC4" w14:textId="77777777" w:rsidR="00CA4E35" w:rsidRPr="008D0ABE" w:rsidRDefault="00CA4E35" w:rsidP="008D0ABE">
            <w:pPr>
              <w:pStyle w:val="af2"/>
              <w:jc w:val="both"/>
              <w:rPr>
                <w:sz w:val="24"/>
                <w:szCs w:val="24"/>
              </w:rPr>
            </w:pPr>
            <w:r w:rsidRPr="008D0ABE">
              <w:rPr>
                <w:sz w:val="24"/>
                <w:szCs w:val="24"/>
              </w:rPr>
              <w:t>3. Льготы, предусмотренные подпунктом р) части первой пункта 1 статьи 14, подпунктом з) части первой пункта 1 статьи 15 настоящего Закона, предоставляются лицам в пределах социальных норм, определяемых в соответствии с законодательством Приднестровской Молдавской Республики.</w:t>
            </w:r>
          </w:p>
          <w:p w14:paraId="55412A4B" w14:textId="77777777" w:rsidR="00CA4E35" w:rsidRPr="008D0ABE" w:rsidRDefault="00CA4E35" w:rsidP="008D0ABE">
            <w:pPr>
              <w:pStyle w:val="af2"/>
              <w:jc w:val="both"/>
              <w:rPr>
                <w:sz w:val="24"/>
                <w:szCs w:val="24"/>
                <w:highlight w:val="yellow"/>
              </w:rPr>
            </w:pPr>
          </w:p>
          <w:p w14:paraId="40007303" w14:textId="77777777" w:rsidR="00CA4E35" w:rsidRPr="008D0ABE" w:rsidRDefault="00CA4E35" w:rsidP="008D0ABE">
            <w:pPr>
              <w:pStyle w:val="af2"/>
              <w:jc w:val="both"/>
              <w:rPr>
                <w:sz w:val="24"/>
                <w:szCs w:val="24"/>
                <w:highlight w:val="yellow"/>
              </w:rPr>
            </w:pPr>
          </w:p>
        </w:tc>
      </w:tr>
      <w:tr w:rsidR="00CA4E35" w:rsidRPr="008D0ABE" w14:paraId="3C47C34F" w14:textId="77777777" w:rsidTr="0033555E">
        <w:tc>
          <w:tcPr>
            <w:tcW w:w="5387" w:type="dxa"/>
          </w:tcPr>
          <w:p w14:paraId="460E8F43" w14:textId="77777777" w:rsidR="00CA4E35" w:rsidRPr="008D0ABE" w:rsidRDefault="00CA4E35" w:rsidP="008D0ABE">
            <w:pPr>
              <w:pStyle w:val="af2"/>
              <w:jc w:val="both"/>
              <w:rPr>
                <w:sz w:val="24"/>
                <w:szCs w:val="24"/>
              </w:rPr>
            </w:pPr>
            <w:r w:rsidRPr="008D0ABE">
              <w:rPr>
                <w:sz w:val="24"/>
                <w:szCs w:val="24"/>
              </w:rPr>
              <w:t>Статья 14. Льготы и гарантии для инвалидов I группы по зрению</w:t>
            </w:r>
          </w:p>
          <w:p w14:paraId="379AD934" w14:textId="77777777" w:rsidR="00CA4E35" w:rsidRPr="008D0ABE" w:rsidRDefault="00CA4E35" w:rsidP="008D0ABE">
            <w:pPr>
              <w:pStyle w:val="af2"/>
              <w:jc w:val="both"/>
              <w:rPr>
                <w:sz w:val="24"/>
                <w:szCs w:val="24"/>
              </w:rPr>
            </w:pPr>
            <w:r w:rsidRPr="008D0ABE">
              <w:rPr>
                <w:sz w:val="24"/>
                <w:szCs w:val="24"/>
              </w:rPr>
              <w:t>1. Для инвалидов I группы по зрению предоставляются следующие льготы и гарантии:</w:t>
            </w:r>
          </w:p>
          <w:p w14:paraId="4A8B6DE4" w14:textId="77777777" w:rsidR="00CA4E35" w:rsidRPr="008D0ABE" w:rsidRDefault="00CA4E35" w:rsidP="008D0ABE">
            <w:pPr>
              <w:pStyle w:val="af2"/>
              <w:jc w:val="both"/>
              <w:rPr>
                <w:sz w:val="24"/>
                <w:szCs w:val="24"/>
              </w:rPr>
            </w:pPr>
            <w:r w:rsidRPr="008D0ABE">
              <w:rPr>
                <w:sz w:val="24"/>
                <w:szCs w:val="24"/>
              </w:rPr>
              <w:t>…</w:t>
            </w:r>
          </w:p>
          <w:p w14:paraId="6203A10A" w14:textId="01F331EF" w:rsidR="00CA4E35" w:rsidRPr="008D0ABE" w:rsidRDefault="00CA4E35" w:rsidP="008D0ABE">
            <w:pPr>
              <w:pStyle w:val="af2"/>
              <w:jc w:val="both"/>
              <w:rPr>
                <w:sz w:val="24"/>
                <w:szCs w:val="24"/>
              </w:rPr>
            </w:pPr>
            <w:r w:rsidRPr="008D0ABE">
              <w:rPr>
                <w:sz w:val="24"/>
                <w:szCs w:val="24"/>
              </w:rPr>
              <w:t>р) льгота в виде освобождения от 100 процентов платы за установку телефона по адресу прописки или регистрации по месту жительства и пользование телефоном (абонентской платы), а также использования бесплатно ежемесячно первых 100 (ста) минут телефонных разговоров по местной телефонной сети. Указанная льгота финансируется за счет средств республиканского бюджета.</w:t>
            </w:r>
          </w:p>
          <w:p w14:paraId="4045D4F9" w14:textId="6AF980AF" w:rsidR="00CA4E35" w:rsidRPr="008D0ABE" w:rsidRDefault="00CA4E35" w:rsidP="008D0ABE">
            <w:pPr>
              <w:pStyle w:val="af2"/>
              <w:jc w:val="both"/>
              <w:rPr>
                <w:sz w:val="24"/>
                <w:szCs w:val="24"/>
              </w:rPr>
            </w:pPr>
            <w:r w:rsidRPr="008D0ABE">
              <w:rPr>
                <w:sz w:val="24"/>
                <w:szCs w:val="24"/>
              </w:rPr>
              <w:t>Право на использование бесплатно первых 100 (ста) минут телефонных разговоров по местной телефонной сети распространяется и на членов семьи, совместно проживающих в жилом помещении абонента, которому предоставлено право на льготу, обозначенную в части первой настоящего подпункта;</w:t>
            </w:r>
          </w:p>
          <w:p w14:paraId="52083437" w14:textId="77777777" w:rsidR="00CA4E35" w:rsidRPr="008D0ABE" w:rsidRDefault="00CA4E35" w:rsidP="008D0ABE">
            <w:pPr>
              <w:pStyle w:val="af2"/>
              <w:jc w:val="both"/>
              <w:rPr>
                <w:sz w:val="24"/>
                <w:szCs w:val="24"/>
              </w:rPr>
            </w:pPr>
            <w:r w:rsidRPr="008D0ABE">
              <w:rPr>
                <w:sz w:val="24"/>
                <w:szCs w:val="24"/>
              </w:rPr>
              <w:t>…</w:t>
            </w:r>
          </w:p>
        </w:tc>
        <w:tc>
          <w:tcPr>
            <w:tcW w:w="5245" w:type="dxa"/>
          </w:tcPr>
          <w:p w14:paraId="56DDAFE8" w14:textId="77777777" w:rsidR="00CA4E35" w:rsidRPr="008D0ABE" w:rsidRDefault="00CA4E35" w:rsidP="008D0ABE">
            <w:pPr>
              <w:pStyle w:val="af2"/>
              <w:jc w:val="both"/>
              <w:rPr>
                <w:sz w:val="24"/>
                <w:szCs w:val="24"/>
              </w:rPr>
            </w:pPr>
            <w:r w:rsidRPr="008D0ABE">
              <w:rPr>
                <w:sz w:val="24"/>
                <w:szCs w:val="24"/>
              </w:rPr>
              <w:t>Статья 14. Льготы и гарантии для инвалидов I группы по зрению</w:t>
            </w:r>
          </w:p>
          <w:p w14:paraId="11B2431B" w14:textId="77777777" w:rsidR="00CA4E35" w:rsidRPr="008D0ABE" w:rsidRDefault="00CA4E35" w:rsidP="008D0ABE">
            <w:pPr>
              <w:pStyle w:val="af2"/>
              <w:jc w:val="both"/>
              <w:rPr>
                <w:sz w:val="24"/>
                <w:szCs w:val="24"/>
              </w:rPr>
            </w:pPr>
            <w:r w:rsidRPr="008D0ABE">
              <w:rPr>
                <w:sz w:val="24"/>
                <w:szCs w:val="24"/>
              </w:rPr>
              <w:t>1. Для инвалидов I группы по зрению предоставляются следующие льготы и гарантии:</w:t>
            </w:r>
          </w:p>
          <w:p w14:paraId="7EC524E4" w14:textId="77777777" w:rsidR="00CA4E35" w:rsidRPr="008D0ABE" w:rsidRDefault="00CA4E35" w:rsidP="008D0ABE">
            <w:pPr>
              <w:pStyle w:val="af2"/>
              <w:jc w:val="both"/>
              <w:rPr>
                <w:sz w:val="24"/>
                <w:szCs w:val="24"/>
              </w:rPr>
            </w:pPr>
            <w:r w:rsidRPr="008D0ABE">
              <w:rPr>
                <w:sz w:val="24"/>
                <w:szCs w:val="24"/>
              </w:rPr>
              <w:t>…</w:t>
            </w:r>
          </w:p>
          <w:p w14:paraId="6C2546F8" w14:textId="0E36E4F0" w:rsidR="00CA4E35" w:rsidRPr="008D0ABE" w:rsidRDefault="00CA4E35" w:rsidP="008D0ABE">
            <w:pPr>
              <w:pStyle w:val="af2"/>
              <w:jc w:val="both"/>
              <w:rPr>
                <w:sz w:val="24"/>
                <w:szCs w:val="24"/>
              </w:rPr>
            </w:pPr>
            <w:r w:rsidRPr="008D0ABE">
              <w:rPr>
                <w:sz w:val="24"/>
                <w:szCs w:val="24"/>
              </w:rPr>
              <w:t xml:space="preserve">р) льгота в виде освобождения от 100 </w:t>
            </w:r>
            <w:r w:rsidR="004D7024" w:rsidRPr="008D0ABE">
              <w:rPr>
                <w:sz w:val="24"/>
                <w:szCs w:val="24"/>
              </w:rPr>
              <w:t xml:space="preserve">(ста) </w:t>
            </w:r>
            <w:r w:rsidRPr="008D0ABE">
              <w:rPr>
                <w:sz w:val="24"/>
                <w:szCs w:val="24"/>
              </w:rPr>
              <w:t xml:space="preserve">процентов платы за </w:t>
            </w:r>
            <w:proofErr w:type="gramStart"/>
            <w:r w:rsidRPr="008D0ABE">
              <w:rPr>
                <w:sz w:val="24"/>
                <w:szCs w:val="24"/>
              </w:rPr>
              <w:t>установку  телефона</w:t>
            </w:r>
            <w:proofErr w:type="gramEnd"/>
            <w:r w:rsidRPr="008D0ABE">
              <w:rPr>
                <w:sz w:val="24"/>
                <w:szCs w:val="24"/>
              </w:rPr>
              <w:t xml:space="preserve"> по адресу прописки или регистрации по месту жительства и пользование телефоном (абонентской платы), а также предоставления бесплатно ежемесячно первых 100 (ста) минут телефонных разговоров по местной телефонной сети</w:t>
            </w:r>
            <w:r w:rsidR="004D7024" w:rsidRPr="008D0ABE">
              <w:rPr>
                <w:sz w:val="24"/>
                <w:szCs w:val="24"/>
              </w:rPr>
              <w:t xml:space="preserve"> по 1 (одному) абонентскому номеру </w:t>
            </w:r>
            <w:r w:rsidRPr="008D0ABE">
              <w:rPr>
                <w:sz w:val="24"/>
                <w:szCs w:val="24"/>
              </w:rPr>
              <w:t>– для абонентов.</w:t>
            </w:r>
          </w:p>
          <w:p w14:paraId="6D2099F1" w14:textId="0857379B" w:rsidR="00CA4E35" w:rsidRPr="008D0ABE" w:rsidRDefault="00CA4E35" w:rsidP="008D0ABE">
            <w:pPr>
              <w:pStyle w:val="af2"/>
              <w:jc w:val="both"/>
              <w:rPr>
                <w:sz w:val="24"/>
                <w:szCs w:val="24"/>
              </w:rPr>
            </w:pPr>
            <w:r w:rsidRPr="008D0ABE">
              <w:rPr>
                <w:sz w:val="24"/>
                <w:szCs w:val="24"/>
              </w:rPr>
              <w:t>Инвалидам I группы по зрению, 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w:t>
            </w:r>
            <w:r w:rsidRPr="008D0ABE">
              <w:rPr>
                <w:sz w:val="24"/>
                <w:szCs w:val="24"/>
                <w:highlight w:val="yellow"/>
              </w:rPr>
              <w:t xml:space="preserve"> </w:t>
            </w:r>
            <w:r w:rsidRPr="008D0ABE">
              <w:rPr>
                <w:sz w:val="24"/>
                <w:szCs w:val="24"/>
              </w:rPr>
              <w:t>по 1 (одному) абонентскому номеру.</w:t>
            </w:r>
          </w:p>
          <w:p w14:paraId="16BEAA84" w14:textId="14FCF1EE" w:rsidR="00CA4E35" w:rsidRPr="008D0ABE" w:rsidRDefault="00CA4E35" w:rsidP="008D0ABE">
            <w:pPr>
              <w:pStyle w:val="af2"/>
              <w:jc w:val="both"/>
              <w:rPr>
                <w:sz w:val="24"/>
                <w:szCs w:val="24"/>
              </w:rPr>
            </w:pPr>
            <w:r w:rsidRPr="008D0ABE">
              <w:rPr>
                <w:sz w:val="24"/>
                <w:szCs w:val="24"/>
              </w:rPr>
              <w:t>Льготы, установленные настоящим подпунктом, финансируются за счет средств республиканского бюджета;</w:t>
            </w:r>
          </w:p>
          <w:p w14:paraId="2BA03616" w14:textId="77777777" w:rsidR="00CA4E35" w:rsidRPr="008D0ABE" w:rsidRDefault="00CA4E35" w:rsidP="008D0ABE">
            <w:pPr>
              <w:pStyle w:val="af2"/>
              <w:jc w:val="both"/>
              <w:rPr>
                <w:sz w:val="24"/>
                <w:szCs w:val="24"/>
              </w:rPr>
            </w:pPr>
            <w:r w:rsidRPr="008D0ABE">
              <w:rPr>
                <w:sz w:val="24"/>
                <w:szCs w:val="24"/>
              </w:rPr>
              <w:t>…</w:t>
            </w:r>
          </w:p>
        </w:tc>
      </w:tr>
      <w:tr w:rsidR="00CA4E35" w:rsidRPr="008D0ABE" w14:paraId="2017A10F" w14:textId="77777777" w:rsidTr="0033555E">
        <w:tc>
          <w:tcPr>
            <w:tcW w:w="5387" w:type="dxa"/>
          </w:tcPr>
          <w:p w14:paraId="66BFAAE0" w14:textId="77777777" w:rsidR="00CA4E35" w:rsidRPr="008D0ABE" w:rsidRDefault="00CA4E35" w:rsidP="008D0ABE">
            <w:pPr>
              <w:pStyle w:val="af2"/>
              <w:jc w:val="both"/>
              <w:rPr>
                <w:sz w:val="24"/>
                <w:szCs w:val="24"/>
              </w:rPr>
            </w:pPr>
            <w:r w:rsidRPr="008D0ABE">
              <w:rPr>
                <w:sz w:val="24"/>
                <w:szCs w:val="24"/>
              </w:rPr>
              <w:t>Статья 15. Льготы и гарантии инвалидам I, II, III групп общего заболевания, трудового увечья, профессионального заболевания, заболевания, полученного в период военной службы, инвалидам II группы по зрению, инвалидам с детства всех трех групп, детям-инвалидам в возрасте до 18 (восемнадцати) лет</w:t>
            </w:r>
          </w:p>
          <w:p w14:paraId="620B4557" w14:textId="77777777" w:rsidR="00CA4E35" w:rsidRPr="008D0ABE" w:rsidRDefault="00CA4E35" w:rsidP="008D0ABE">
            <w:pPr>
              <w:pStyle w:val="af2"/>
              <w:jc w:val="both"/>
              <w:rPr>
                <w:sz w:val="24"/>
                <w:szCs w:val="24"/>
              </w:rPr>
            </w:pPr>
            <w:r w:rsidRPr="008D0ABE">
              <w:rPr>
                <w:sz w:val="24"/>
                <w:szCs w:val="24"/>
              </w:rPr>
              <w:lastRenderedPageBreak/>
              <w:t xml:space="preserve">1. Инвалидам I, II групп общего заболевания, трудового увечья, профессионального заболевания, заболевания, полученного в период военной службы, инвалидам II группы по зрению, инвалидам с детства I, II групп, ребенку-инвалиду в возрасте до 18 (восемнадцати) лет предоставляются следующие льготы и гарантии: </w:t>
            </w:r>
          </w:p>
          <w:p w14:paraId="656FFF02" w14:textId="77777777" w:rsidR="00CA4E35" w:rsidRPr="008D0ABE" w:rsidRDefault="00CA4E35" w:rsidP="008D0ABE">
            <w:pPr>
              <w:pStyle w:val="af2"/>
              <w:jc w:val="both"/>
              <w:rPr>
                <w:sz w:val="24"/>
                <w:szCs w:val="24"/>
              </w:rPr>
            </w:pPr>
            <w:r w:rsidRPr="008D0ABE">
              <w:rPr>
                <w:sz w:val="24"/>
                <w:szCs w:val="24"/>
              </w:rPr>
              <w:t>…</w:t>
            </w:r>
          </w:p>
          <w:p w14:paraId="1496D8DB" w14:textId="02BDDCD1" w:rsidR="00CA4E35" w:rsidRPr="008D0ABE" w:rsidRDefault="00CA4E35" w:rsidP="008D0ABE">
            <w:pPr>
              <w:pStyle w:val="af2"/>
              <w:jc w:val="both"/>
              <w:rPr>
                <w:sz w:val="24"/>
                <w:szCs w:val="24"/>
              </w:rPr>
            </w:pPr>
            <w:r w:rsidRPr="008D0ABE">
              <w:rPr>
                <w:sz w:val="24"/>
                <w:szCs w:val="24"/>
              </w:rPr>
              <w:t>з) льгота в виде освобождения от 50 процентов платы за установку телефона по адресу прописки или регистрации по месту жительства и пользование телефоном (абонентской платы), а также использования бесплатно ежемесячно первых 100 (ста) минут телефонных разговоров по местной телефонной сети. Указанная льгота финансируется за счет средств республиканского бюджета.</w:t>
            </w:r>
          </w:p>
          <w:p w14:paraId="7A09F6F6" w14:textId="1691147C" w:rsidR="00CA4E35" w:rsidRPr="008D0ABE" w:rsidRDefault="00CA4E35" w:rsidP="008D0ABE">
            <w:pPr>
              <w:pStyle w:val="af2"/>
              <w:jc w:val="both"/>
              <w:rPr>
                <w:sz w:val="24"/>
                <w:szCs w:val="24"/>
              </w:rPr>
            </w:pPr>
            <w:r w:rsidRPr="008D0ABE">
              <w:rPr>
                <w:sz w:val="24"/>
                <w:szCs w:val="24"/>
              </w:rPr>
              <w:t>Право на использование бесплатно первых 100 (ста) минут телефонных разговоров по местной телефонной сети распространяется и на членов семьи, совместно проживающих в жилом помещении абонента, которому предоставлено право на льготу, обозначенную в части первой настоящего подпункта</w:t>
            </w:r>
            <w:r w:rsidR="004D7024" w:rsidRPr="008D0ABE">
              <w:rPr>
                <w:sz w:val="24"/>
                <w:szCs w:val="24"/>
              </w:rPr>
              <w:t>.</w:t>
            </w:r>
            <w:r w:rsidRPr="008D0ABE">
              <w:rPr>
                <w:sz w:val="24"/>
                <w:szCs w:val="24"/>
              </w:rPr>
              <w:t>;</w:t>
            </w:r>
          </w:p>
          <w:p w14:paraId="6B543E6A" w14:textId="77777777" w:rsidR="00CA4E35" w:rsidRPr="008D0ABE" w:rsidRDefault="00CA4E35" w:rsidP="008D0ABE">
            <w:pPr>
              <w:pStyle w:val="af2"/>
              <w:jc w:val="both"/>
              <w:rPr>
                <w:sz w:val="24"/>
                <w:szCs w:val="24"/>
              </w:rPr>
            </w:pPr>
            <w:r w:rsidRPr="008D0ABE">
              <w:rPr>
                <w:sz w:val="24"/>
                <w:szCs w:val="24"/>
              </w:rPr>
              <w:t>…</w:t>
            </w:r>
          </w:p>
          <w:p w14:paraId="19EB5CE0" w14:textId="77777777" w:rsidR="00CA4E35" w:rsidRPr="008D0ABE" w:rsidRDefault="00CA4E35" w:rsidP="008D0ABE">
            <w:pPr>
              <w:pStyle w:val="af2"/>
              <w:jc w:val="both"/>
              <w:rPr>
                <w:sz w:val="24"/>
                <w:szCs w:val="24"/>
              </w:rPr>
            </w:pPr>
          </w:p>
        </w:tc>
        <w:tc>
          <w:tcPr>
            <w:tcW w:w="5245" w:type="dxa"/>
          </w:tcPr>
          <w:p w14:paraId="1A4FA6EC" w14:textId="77777777" w:rsidR="00CA4E35" w:rsidRPr="008D0ABE" w:rsidRDefault="00CA4E35" w:rsidP="008D0ABE">
            <w:pPr>
              <w:pStyle w:val="af2"/>
              <w:jc w:val="both"/>
              <w:rPr>
                <w:sz w:val="24"/>
                <w:szCs w:val="24"/>
              </w:rPr>
            </w:pPr>
            <w:r w:rsidRPr="008D0ABE">
              <w:rPr>
                <w:sz w:val="24"/>
                <w:szCs w:val="24"/>
              </w:rPr>
              <w:lastRenderedPageBreak/>
              <w:t>Статья 15. Льготы и гарантии инвалидам I, II, III групп общего заболевания, трудового увечья, профессионального заболевания, заболевания, полученного в период военной службы, инвалидам II группы по зрению, инвалидам с детства всех трех групп, детям-инвалидам в возрасте до 18 (восемнадцати) лет</w:t>
            </w:r>
          </w:p>
          <w:p w14:paraId="7CC36101" w14:textId="77777777" w:rsidR="00CA4E35" w:rsidRPr="008D0ABE" w:rsidRDefault="00CA4E35" w:rsidP="008D0ABE">
            <w:pPr>
              <w:pStyle w:val="af2"/>
              <w:jc w:val="both"/>
              <w:rPr>
                <w:sz w:val="24"/>
                <w:szCs w:val="24"/>
              </w:rPr>
            </w:pPr>
            <w:r w:rsidRPr="008D0ABE">
              <w:rPr>
                <w:sz w:val="24"/>
                <w:szCs w:val="24"/>
              </w:rPr>
              <w:lastRenderedPageBreak/>
              <w:t xml:space="preserve">1. Инвалидам I, II групп общего заболевания, трудового увечья, профессионального заболевания, заболевания, полученного в период военной службы, инвалидам II группы по зрению, инвалидам с детства I, II групп, ребенку-инвалиду в возрасте до 18 (восемнадцати) лет предоставляются следующие льготы и гарантии: </w:t>
            </w:r>
          </w:p>
          <w:p w14:paraId="6E6D692F" w14:textId="77777777" w:rsidR="00CA4E35" w:rsidRPr="008D0ABE" w:rsidRDefault="00CA4E35" w:rsidP="008D0ABE">
            <w:pPr>
              <w:pStyle w:val="af2"/>
              <w:jc w:val="both"/>
              <w:rPr>
                <w:sz w:val="24"/>
                <w:szCs w:val="24"/>
              </w:rPr>
            </w:pPr>
            <w:r w:rsidRPr="008D0ABE">
              <w:rPr>
                <w:sz w:val="24"/>
                <w:szCs w:val="24"/>
              </w:rPr>
              <w:t>…</w:t>
            </w:r>
          </w:p>
          <w:p w14:paraId="766919CC" w14:textId="00F3730B" w:rsidR="00CA4E35" w:rsidRPr="008D0ABE" w:rsidRDefault="00CA4E35" w:rsidP="008D0ABE">
            <w:pPr>
              <w:pStyle w:val="af2"/>
              <w:jc w:val="both"/>
              <w:rPr>
                <w:sz w:val="24"/>
                <w:szCs w:val="24"/>
              </w:rPr>
            </w:pPr>
            <w:r w:rsidRPr="008D0ABE">
              <w:rPr>
                <w:sz w:val="24"/>
                <w:szCs w:val="24"/>
              </w:rPr>
              <w:t xml:space="preserve">з) льгота в виде освобождения от 50 </w:t>
            </w:r>
            <w:r w:rsidR="004D7024" w:rsidRPr="008D0ABE">
              <w:rPr>
                <w:sz w:val="24"/>
                <w:szCs w:val="24"/>
              </w:rPr>
              <w:t xml:space="preserve">(пятидесяти) </w:t>
            </w:r>
            <w:r w:rsidRPr="008D0ABE">
              <w:rPr>
                <w:sz w:val="24"/>
                <w:szCs w:val="24"/>
              </w:rPr>
              <w:t xml:space="preserve">процентов платы за </w:t>
            </w:r>
            <w:proofErr w:type="gramStart"/>
            <w:r w:rsidRPr="008D0ABE">
              <w:rPr>
                <w:sz w:val="24"/>
                <w:szCs w:val="24"/>
              </w:rPr>
              <w:t>установку  телефона</w:t>
            </w:r>
            <w:proofErr w:type="gramEnd"/>
            <w:r w:rsidRPr="008D0ABE">
              <w:rPr>
                <w:sz w:val="24"/>
                <w:szCs w:val="24"/>
              </w:rPr>
              <w:t xml:space="preserve"> по адресу прописки или регистрации по месту жительства и пользование телефоном (абонентской платы), а также предоставления бесплатно ежемесячно первых 100 (ста) минут телефонных разговоров по местной телефонной сети по 1 (одному) абонентскому номеру – для абонента. </w:t>
            </w:r>
          </w:p>
          <w:p w14:paraId="390F8C57" w14:textId="0A2381B6" w:rsidR="00CA4E35" w:rsidRPr="008D0ABE" w:rsidRDefault="00CA4E35" w:rsidP="008D0ABE">
            <w:pPr>
              <w:pStyle w:val="af2"/>
              <w:jc w:val="both"/>
              <w:rPr>
                <w:sz w:val="24"/>
                <w:szCs w:val="24"/>
              </w:rPr>
            </w:pPr>
            <w:r w:rsidRPr="008D0ABE">
              <w:rPr>
                <w:sz w:val="24"/>
                <w:szCs w:val="24"/>
              </w:rPr>
              <w:t>Инвалидам I, II групп общего заболевания, трудового увечья, профессионального заболевания, заболевания, полученного в период военной службы, инвалидам II группы по зрению, инвалидам с детства I, II групп, ребенку-инвалиду в возрасте до 18 (восемнадцати) лет, 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14:paraId="2487A85E" w14:textId="1D32A476" w:rsidR="00CA4E35" w:rsidRPr="008D0ABE" w:rsidRDefault="00CA4E35" w:rsidP="008D0ABE">
            <w:pPr>
              <w:pStyle w:val="af2"/>
              <w:jc w:val="both"/>
              <w:rPr>
                <w:sz w:val="24"/>
                <w:szCs w:val="24"/>
              </w:rPr>
            </w:pPr>
            <w:r w:rsidRPr="008D0ABE">
              <w:rPr>
                <w:sz w:val="24"/>
                <w:szCs w:val="24"/>
              </w:rPr>
              <w:t>Льготы, установленные настоящим подпунктом, финансируются за счет средств республиканского бюджета;</w:t>
            </w:r>
          </w:p>
          <w:p w14:paraId="0352F1EC" w14:textId="77777777" w:rsidR="00CA4E35" w:rsidRPr="008D0ABE" w:rsidRDefault="00CA4E35" w:rsidP="008D0ABE">
            <w:pPr>
              <w:pStyle w:val="af2"/>
              <w:jc w:val="both"/>
              <w:rPr>
                <w:sz w:val="24"/>
                <w:szCs w:val="24"/>
              </w:rPr>
            </w:pPr>
            <w:r w:rsidRPr="008D0ABE">
              <w:rPr>
                <w:sz w:val="24"/>
                <w:szCs w:val="24"/>
              </w:rPr>
              <w:t>…</w:t>
            </w:r>
          </w:p>
        </w:tc>
      </w:tr>
    </w:tbl>
    <w:p w14:paraId="7DD388BA" w14:textId="26A5808C" w:rsidR="009D0A11" w:rsidRPr="008D0ABE" w:rsidRDefault="009D0A11" w:rsidP="008D0ABE">
      <w:pPr>
        <w:pStyle w:val="af2"/>
        <w:jc w:val="both"/>
        <w:rPr>
          <w:sz w:val="24"/>
          <w:szCs w:val="24"/>
        </w:rPr>
      </w:pPr>
    </w:p>
    <w:sectPr w:rsidR="009D0A11" w:rsidRPr="008D0ABE" w:rsidSect="008D0ABE">
      <w:pgSz w:w="11906" w:h="16838"/>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69515" w16cex:dateUtc="2025-08-18T13:00:00Z"/>
  <w16cex:commentExtensible w16cex:durableId="0935D4EA" w16cex:dateUtc="2025-08-13T07: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5ADB"/>
    <w:multiLevelType w:val="singleLevel"/>
    <w:tmpl w:val="A9688DAC"/>
    <w:lvl w:ilvl="0">
      <w:start w:val="1"/>
      <w:numFmt w:val="decimal"/>
      <w:lvlText w:val="%1."/>
      <w:legacy w:legacy="1" w:legacySpace="0" w:legacyIndent="274"/>
      <w:lvlJc w:val="left"/>
      <w:rPr>
        <w:rFonts w:ascii="Times New Roman" w:hAnsi="Times New Roman" w:cs="Times New Roman" w:hint="default"/>
      </w:rPr>
    </w:lvl>
  </w:abstractNum>
  <w:abstractNum w:abstractNumId="1" w15:restartNumberingAfterBreak="0">
    <w:nsid w:val="4DDD4F71"/>
    <w:multiLevelType w:val="hybridMultilevel"/>
    <w:tmpl w:val="F35CA62C"/>
    <w:lvl w:ilvl="0" w:tplc="B0BA5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9BA36D6"/>
    <w:multiLevelType w:val="hybridMultilevel"/>
    <w:tmpl w:val="FE56DC9C"/>
    <w:lvl w:ilvl="0" w:tplc="F76C756A">
      <w:start w:val="1"/>
      <w:numFmt w:val="decimal"/>
      <w:lvlText w:val="%1."/>
      <w:lvlJc w:val="left"/>
      <w:pPr>
        <w:ind w:left="1065" w:hanging="360"/>
      </w:pPr>
      <w:rPr>
        <w:rFonts w:ascii="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94"/>
    <w:rsid w:val="0000254A"/>
    <w:rsid w:val="00012B25"/>
    <w:rsid w:val="00034E4C"/>
    <w:rsid w:val="00040E43"/>
    <w:rsid w:val="0005553F"/>
    <w:rsid w:val="00072B7B"/>
    <w:rsid w:val="000809BD"/>
    <w:rsid w:val="0008361D"/>
    <w:rsid w:val="000860C7"/>
    <w:rsid w:val="00087D9E"/>
    <w:rsid w:val="00092307"/>
    <w:rsid w:val="000B2B1C"/>
    <w:rsid w:val="000B493C"/>
    <w:rsid w:val="000B6155"/>
    <w:rsid w:val="000B6C3C"/>
    <w:rsid w:val="000B7B7D"/>
    <w:rsid w:val="000C6119"/>
    <w:rsid w:val="000D4DF3"/>
    <w:rsid w:val="000D630F"/>
    <w:rsid w:val="000E141A"/>
    <w:rsid w:val="000E2CD7"/>
    <w:rsid w:val="000F140E"/>
    <w:rsid w:val="000F2405"/>
    <w:rsid w:val="00105835"/>
    <w:rsid w:val="001149BB"/>
    <w:rsid w:val="001351E4"/>
    <w:rsid w:val="00135B1C"/>
    <w:rsid w:val="00147B17"/>
    <w:rsid w:val="00154501"/>
    <w:rsid w:val="00164319"/>
    <w:rsid w:val="00166ACB"/>
    <w:rsid w:val="00167D8C"/>
    <w:rsid w:val="0018053F"/>
    <w:rsid w:val="00190BBF"/>
    <w:rsid w:val="00194966"/>
    <w:rsid w:val="001A52A4"/>
    <w:rsid w:val="001A5D56"/>
    <w:rsid w:val="001B38C0"/>
    <w:rsid w:val="001C192E"/>
    <w:rsid w:val="001C1BD7"/>
    <w:rsid w:val="001F1F48"/>
    <w:rsid w:val="00213068"/>
    <w:rsid w:val="00213DCC"/>
    <w:rsid w:val="00215DA7"/>
    <w:rsid w:val="00217999"/>
    <w:rsid w:val="00232C98"/>
    <w:rsid w:val="0023495E"/>
    <w:rsid w:val="00240102"/>
    <w:rsid w:val="00246D99"/>
    <w:rsid w:val="00255DCA"/>
    <w:rsid w:val="00263B95"/>
    <w:rsid w:val="00263FDE"/>
    <w:rsid w:val="00271330"/>
    <w:rsid w:val="00271E08"/>
    <w:rsid w:val="002867EB"/>
    <w:rsid w:val="00291C98"/>
    <w:rsid w:val="002930F0"/>
    <w:rsid w:val="00297A8B"/>
    <w:rsid w:val="002A138F"/>
    <w:rsid w:val="002C4681"/>
    <w:rsid w:val="002C4AE0"/>
    <w:rsid w:val="002E78BA"/>
    <w:rsid w:val="002F189D"/>
    <w:rsid w:val="00301CED"/>
    <w:rsid w:val="00303C6C"/>
    <w:rsid w:val="0033555E"/>
    <w:rsid w:val="00340856"/>
    <w:rsid w:val="00340A0A"/>
    <w:rsid w:val="00362848"/>
    <w:rsid w:val="00390BBB"/>
    <w:rsid w:val="00394952"/>
    <w:rsid w:val="003B0E2C"/>
    <w:rsid w:val="003F734E"/>
    <w:rsid w:val="003F7E1A"/>
    <w:rsid w:val="00400B5F"/>
    <w:rsid w:val="00411957"/>
    <w:rsid w:val="004218B5"/>
    <w:rsid w:val="00430C8B"/>
    <w:rsid w:val="00450F1F"/>
    <w:rsid w:val="00466384"/>
    <w:rsid w:val="004708B9"/>
    <w:rsid w:val="004725A2"/>
    <w:rsid w:val="00473B90"/>
    <w:rsid w:val="00474EAB"/>
    <w:rsid w:val="00484D84"/>
    <w:rsid w:val="00495A61"/>
    <w:rsid w:val="004B48CB"/>
    <w:rsid w:val="004C5AA0"/>
    <w:rsid w:val="004C5F1A"/>
    <w:rsid w:val="004D07E9"/>
    <w:rsid w:val="004D1087"/>
    <w:rsid w:val="004D3319"/>
    <w:rsid w:val="004D7024"/>
    <w:rsid w:val="004E656F"/>
    <w:rsid w:val="004F370A"/>
    <w:rsid w:val="004F723D"/>
    <w:rsid w:val="00516DB0"/>
    <w:rsid w:val="0052257D"/>
    <w:rsid w:val="0052349B"/>
    <w:rsid w:val="00523569"/>
    <w:rsid w:val="00531DCD"/>
    <w:rsid w:val="00532166"/>
    <w:rsid w:val="00552C23"/>
    <w:rsid w:val="00553730"/>
    <w:rsid w:val="00565EFB"/>
    <w:rsid w:val="00566D6C"/>
    <w:rsid w:val="00580ACC"/>
    <w:rsid w:val="00592AB3"/>
    <w:rsid w:val="00595DB8"/>
    <w:rsid w:val="005A3BBA"/>
    <w:rsid w:val="005B2D25"/>
    <w:rsid w:val="005D13AC"/>
    <w:rsid w:val="005D21B4"/>
    <w:rsid w:val="005D3974"/>
    <w:rsid w:val="005F35F1"/>
    <w:rsid w:val="00602393"/>
    <w:rsid w:val="00630CA4"/>
    <w:rsid w:val="0063366C"/>
    <w:rsid w:val="006338B6"/>
    <w:rsid w:val="00637011"/>
    <w:rsid w:val="006407A9"/>
    <w:rsid w:val="0066508A"/>
    <w:rsid w:val="00674F0B"/>
    <w:rsid w:val="00690DF7"/>
    <w:rsid w:val="006A0B94"/>
    <w:rsid w:val="006A202C"/>
    <w:rsid w:val="006A7CF4"/>
    <w:rsid w:val="006C2C48"/>
    <w:rsid w:val="006C5075"/>
    <w:rsid w:val="006D2498"/>
    <w:rsid w:val="006D7985"/>
    <w:rsid w:val="006E2166"/>
    <w:rsid w:val="006E76F9"/>
    <w:rsid w:val="00701A2B"/>
    <w:rsid w:val="0070399C"/>
    <w:rsid w:val="00710CA6"/>
    <w:rsid w:val="007203D1"/>
    <w:rsid w:val="00720D69"/>
    <w:rsid w:val="00732CDF"/>
    <w:rsid w:val="007456D9"/>
    <w:rsid w:val="00745B66"/>
    <w:rsid w:val="00750C5D"/>
    <w:rsid w:val="007565BF"/>
    <w:rsid w:val="00766BC5"/>
    <w:rsid w:val="00794676"/>
    <w:rsid w:val="00797CC6"/>
    <w:rsid w:val="007A1255"/>
    <w:rsid w:val="007A26DB"/>
    <w:rsid w:val="007A31AF"/>
    <w:rsid w:val="007B6530"/>
    <w:rsid w:val="007B7601"/>
    <w:rsid w:val="007C45B1"/>
    <w:rsid w:val="007D4633"/>
    <w:rsid w:val="007E1B01"/>
    <w:rsid w:val="007E2B60"/>
    <w:rsid w:val="007E55D0"/>
    <w:rsid w:val="007F7F50"/>
    <w:rsid w:val="00804A1F"/>
    <w:rsid w:val="00813AF5"/>
    <w:rsid w:val="00832F87"/>
    <w:rsid w:val="00842F4A"/>
    <w:rsid w:val="008453ED"/>
    <w:rsid w:val="00852E7F"/>
    <w:rsid w:val="00853970"/>
    <w:rsid w:val="00856A66"/>
    <w:rsid w:val="008603CC"/>
    <w:rsid w:val="00860E20"/>
    <w:rsid w:val="00892C0F"/>
    <w:rsid w:val="00892D1A"/>
    <w:rsid w:val="0089392F"/>
    <w:rsid w:val="008B021D"/>
    <w:rsid w:val="008C243A"/>
    <w:rsid w:val="008D0ABE"/>
    <w:rsid w:val="008D1F46"/>
    <w:rsid w:val="008E4EE1"/>
    <w:rsid w:val="009005CB"/>
    <w:rsid w:val="009209F7"/>
    <w:rsid w:val="0092129A"/>
    <w:rsid w:val="0092414A"/>
    <w:rsid w:val="00924794"/>
    <w:rsid w:val="009350D3"/>
    <w:rsid w:val="009456DC"/>
    <w:rsid w:val="009534F8"/>
    <w:rsid w:val="00955F53"/>
    <w:rsid w:val="0095727D"/>
    <w:rsid w:val="009639C5"/>
    <w:rsid w:val="0098259A"/>
    <w:rsid w:val="00985447"/>
    <w:rsid w:val="009A56FD"/>
    <w:rsid w:val="009B1B78"/>
    <w:rsid w:val="009D0A11"/>
    <w:rsid w:val="009E26B9"/>
    <w:rsid w:val="009F126B"/>
    <w:rsid w:val="009F5414"/>
    <w:rsid w:val="00A01E35"/>
    <w:rsid w:val="00A15CA8"/>
    <w:rsid w:val="00A24461"/>
    <w:rsid w:val="00A30E88"/>
    <w:rsid w:val="00A67CA4"/>
    <w:rsid w:val="00A8694A"/>
    <w:rsid w:val="00A976C4"/>
    <w:rsid w:val="00AA00D6"/>
    <w:rsid w:val="00AA49DD"/>
    <w:rsid w:val="00AB05B9"/>
    <w:rsid w:val="00AB3A22"/>
    <w:rsid w:val="00AD54F7"/>
    <w:rsid w:val="00AE6C45"/>
    <w:rsid w:val="00AF32E7"/>
    <w:rsid w:val="00AF3B48"/>
    <w:rsid w:val="00B135AA"/>
    <w:rsid w:val="00B20C8B"/>
    <w:rsid w:val="00B2386D"/>
    <w:rsid w:val="00B24D2D"/>
    <w:rsid w:val="00B25C7F"/>
    <w:rsid w:val="00B32440"/>
    <w:rsid w:val="00B340D7"/>
    <w:rsid w:val="00B4022F"/>
    <w:rsid w:val="00B402F0"/>
    <w:rsid w:val="00B620CF"/>
    <w:rsid w:val="00B8541B"/>
    <w:rsid w:val="00B92CAB"/>
    <w:rsid w:val="00BB0FA9"/>
    <w:rsid w:val="00BB2C3D"/>
    <w:rsid w:val="00BB4D63"/>
    <w:rsid w:val="00BD408B"/>
    <w:rsid w:val="00BD6B24"/>
    <w:rsid w:val="00BE20F7"/>
    <w:rsid w:val="00BF3AC0"/>
    <w:rsid w:val="00BF6FAA"/>
    <w:rsid w:val="00C11CFE"/>
    <w:rsid w:val="00C1563B"/>
    <w:rsid w:val="00C15F86"/>
    <w:rsid w:val="00C33309"/>
    <w:rsid w:val="00C33354"/>
    <w:rsid w:val="00C33BE2"/>
    <w:rsid w:val="00C43D9D"/>
    <w:rsid w:val="00C54E42"/>
    <w:rsid w:val="00C63378"/>
    <w:rsid w:val="00C714D8"/>
    <w:rsid w:val="00C749F1"/>
    <w:rsid w:val="00C76B8B"/>
    <w:rsid w:val="00C86A7C"/>
    <w:rsid w:val="00C86FD9"/>
    <w:rsid w:val="00C9174D"/>
    <w:rsid w:val="00C95E43"/>
    <w:rsid w:val="00CA4E35"/>
    <w:rsid w:val="00CA5693"/>
    <w:rsid w:val="00CB747D"/>
    <w:rsid w:val="00CB77DF"/>
    <w:rsid w:val="00CC303F"/>
    <w:rsid w:val="00CD0FF8"/>
    <w:rsid w:val="00CD1DC0"/>
    <w:rsid w:val="00CE38B8"/>
    <w:rsid w:val="00D00A2D"/>
    <w:rsid w:val="00D10522"/>
    <w:rsid w:val="00D21DF9"/>
    <w:rsid w:val="00D330E7"/>
    <w:rsid w:val="00D47ADD"/>
    <w:rsid w:val="00D57E0C"/>
    <w:rsid w:val="00D64FCD"/>
    <w:rsid w:val="00D73CD6"/>
    <w:rsid w:val="00D82B5A"/>
    <w:rsid w:val="00D83DC2"/>
    <w:rsid w:val="00D976C4"/>
    <w:rsid w:val="00DA6947"/>
    <w:rsid w:val="00DB2546"/>
    <w:rsid w:val="00DC0781"/>
    <w:rsid w:val="00DD3636"/>
    <w:rsid w:val="00DE4966"/>
    <w:rsid w:val="00DE609D"/>
    <w:rsid w:val="00DF077D"/>
    <w:rsid w:val="00E02556"/>
    <w:rsid w:val="00E030A3"/>
    <w:rsid w:val="00E10A37"/>
    <w:rsid w:val="00E143E9"/>
    <w:rsid w:val="00E239A6"/>
    <w:rsid w:val="00E30718"/>
    <w:rsid w:val="00E4037F"/>
    <w:rsid w:val="00E5790C"/>
    <w:rsid w:val="00E70900"/>
    <w:rsid w:val="00E72579"/>
    <w:rsid w:val="00E80953"/>
    <w:rsid w:val="00E83990"/>
    <w:rsid w:val="00E8739B"/>
    <w:rsid w:val="00E90967"/>
    <w:rsid w:val="00EB153F"/>
    <w:rsid w:val="00EB42E0"/>
    <w:rsid w:val="00EC293F"/>
    <w:rsid w:val="00EC388C"/>
    <w:rsid w:val="00ED4B41"/>
    <w:rsid w:val="00ED6075"/>
    <w:rsid w:val="00EF3649"/>
    <w:rsid w:val="00EF4361"/>
    <w:rsid w:val="00F0003F"/>
    <w:rsid w:val="00F00EB3"/>
    <w:rsid w:val="00F21DBE"/>
    <w:rsid w:val="00F26F36"/>
    <w:rsid w:val="00F325F7"/>
    <w:rsid w:val="00F34B8F"/>
    <w:rsid w:val="00F46425"/>
    <w:rsid w:val="00F5610F"/>
    <w:rsid w:val="00F71C9C"/>
    <w:rsid w:val="00F75901"/>
    <w:rsid w:val="00F75AA3"/>
    <w:rsid w:val="00F841BD"/>
    <w:rsid w:val="00F852F7"/>
    <w:rsid w:val="00F87B0C"/>
    <w:rsid w:val="00F900D2"/>
    <w:rsid w:val="00FB0361"/>
    <w:rsid w:val="00FB154C"/>
    <w:rsid w:val="00FB167C"/>
    <w:rsid w:val="00FB3115"/>
    <w:rsid w:val="00FD45AA"/>
    <w:rsid w:val="00FD55AC"/>
    <w:rsid w:val="00FE4265"/>
    <w:rsid w:val="00FE72E4"/>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5CF3"/>
  <w15:docId w15:val="{5530544B-88AC-4CE8-B7F4-5D943F7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08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link w:val="10"/>
    <w:uiPriority w:val="9"/>
    <w:qFormat/>
    <w:rsid w:val="00C11CFE"/>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B94"/>
    <w:pPr>
      <w:ind w:left="720"/>
      <w:contextualSpacing/>
    </w:pPr>
  </w:style>
  <w:style w:type="paragraph" w:styleId="a4">
    <w:name w:val="Normal (Web)"/>
    <w:basedOn w:val="a"/>
    <w:uiPriority w:val="99"/>
    <w:unhideWhenUsed/>
    <w:rsid w:val="00F5610F"/>
    <w:pPr>
      <w:widowControl/>
      <w:autoSpaceDE/>
      <w:autoSpaceDN/>
      <w:adjustRightInd/>
      <w:spacing w:before="100" w:beforeAutospacing="1" w:after="100" w:afterAutospacing="1"/>
    </w:pPr>
    <w:rPr>
      <w:rFonts w:eastAsia="Times New Roman"/>
      <w:sz w:val="24"/>
      <w:szCs w:val="24"/>
    </w:rPr>
  </w:style>
  <w:style w:type="character" w:styleId="a5">
    <w:name w:val="Strong"/>
    <w:basedOn w:val="a0"/>
    <w:uiPriority w:val="22"/>
    <w:qFormat/>
    <w:rsid w:val="0052257D"/>
    <w:rPr>
      <w:b/>
      <w:bCs/>
    </w:rPr>
  </w:style>
  <w:style w:type="table" w:styleId="a6">
    <w:name w:val="Table Grid"/>
    <w:basedOn w:val="a1"/>
    <w:uiPriority w:val="39"/>
    <w:rsid w:val="0094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1CFE"/>
    <w:rPr>
      <w:rFonts w:ascii="Times New Roman" w:eastAsia="Times New Roman" w:hAnsi="Times New Roman" w:cs="Times New Roman"/>
      <w:b/>
      <w:bCs/>
      <w:kern w:val="36"/>
      <w:sz w:val="48"/>
      <w:szCs w:val="48"/>
      <w:lang w:eastAsia="ru-RU"/>
    </w:rPr>
  </w:style>
  <w:style w:type="character" w:styleId="a7">
    <w:name w:val="annotation reference"/>
    <w:basedOn w:val="a0"/>
    <w:uiPriority w:val="99"/>
    <w:semiHidden/>
    <w:unhideWhenUsed/>
    <w:rsid w:val="0098259A"/>
    <w:rPr>
      <w:sz w:val="16"/>
      <w:szCs w:val="16"/>
    </w:rPr>
  </w:style>
  <w:style w:type="paragraph" w:styleId="a8">
    <w:name w:val="annotation text"/>
    <w:basedOn w:val="a"/>
    <w:link w:val="a9"/>
    <w:uiPriority w:val="99"/>
    <w:semiHidden/>
    <w:unhideWhenUsed/>
    <w:rsid w:val="0098259A"/>
  </w:style>
  <w:style w:type="character" w:customStyle="1" w:styleId="a9">
    <w:name w:val="Текст примечания Знак"/>
    <w:basedOn w:val="a0"/>
    <w:link w:val="a8"/>
    <w:uiPriority w:val="99"/>
    <w:semiHidden/>
    <w:rsid w:val="0098259A"/>
    <w:rPr>
      <w:rFonts w:ascii="Times New Roman" w:eastAsiaTheme="minorEastAsia" w:hAnsi="Times New Roman" w:cs="Times New Roman"/>
      <w:sz w:val="20"/>
      <w:szCs w:val="20"/>
      <w:lang w:eastAsia="ru-RU"/>
    </w:rPr>
  </w:style>
  <w:style w:type="paragraph" w:styleId="aa">
    <w:name w:val="annotation subject"/>
    <w:basedOn w:val="a8"/>
    <w:next w:val="a8"/>
    <w:link w:val="ab"/>
    <w:uiPriority w:val="99"/>
    <w:semiHidden/>
    <w:unhideWhenUsed/>
    <w:rsid w:val="0098259A"/>
    <w:rPr>
      <w:b/>
      <w:bCs/>
    </w:rPr>
  </w:style>
  <w:style w:type="character" w:customStyle="1" w:styleId="ab">
    <w:name w:val="Тема примечания Знак"/>
    <w:basedOn w:val="a9"/>
    <w:link w:val="aa"/>
    <w:uiPriority w:val="99"/>
    <w:semiHidden/>
    <w:rsid w:val="0098259A"/>
    <w:rPr>
      <w:rFonts w:ascii="Times New Roman" w:eastAsiaTheme="minorEastAsia" w:hAnsi="Times New Roman" w:cs="Times New Roman"/>
      <w:b/>
      <w:bCs/>
      <w:sz w:val="20"/>
      <w:szCs w:val="20"/>
      <w:lang w:eastAsia="ru-RU"/>
    </w:rPr>
  </w:style>
  <w:style w:type="paragraph" w:styleId="ac">
    <w:name w:val="Balloon Text"/>
    <w:basedOn w:val="a"/>
    <w:link w:val="ad"/>
    <w:uiPriority w:val="99"/>
    <w:semiHidden/>
    <w:unhideWhenUsed/>
    <w:rsid w:val="00A8694A"/>
    <w:rPr>
      <w:rFonts w:ascii="Segoe UI" w:hAnsi="Segoe UI" w:cs="Segoe UI"/>
      <w:sz w:val="18"/>
      <w:szCs w:val="18"/>
    </w:rPr>
  </w:style>
  <w:style w:type="character" w:customStyle="1" w:styleId="ad">
    <w:name w:val="Текст выноски Знак"/>
    <w:basedOn w:val="a0"/>
    <w:link w:val="ac"/>
    <w:uiPriority w:val="99"/>
    <w:semiHidden/>
    <w:rsid w:val="00A8694A"/>
    <w:rPr>
      <w:rFonts w:ascii="Segoe UI" w:eastAsiaTheme="minorEastAsia" w:hAnsi="Segoe UI" w:cs="Segoe UI"/>
      <w:sz w:val="18"/>
      <w:szCs w:val="18"/>
      <w:lang w:eastAsia="ru-RU"/>
    </w:rPr>
  </w:style>
  <w:style w:type="character" w:styleId="ae">
    <w:name w:val="Hyperlink"/>
    <w:basedOn w:val="a0"/>
    <w:uiPriority w:val="99"/>
    <w:semiHidden/>
    <w:unhideWhenUsed/>
    <w:rsid w:val="00C43D9D"/>
    <w:rPr>
      <w:color w:val="0000FF"/>
      <w:u w:val="single"/>
    </w:rPr>
  </w:style>
  <w:style w:type="character" w:styleId="af">
    <w:name w:val="Emphasis"/>
    <w:basedOn w:val="a0"/>
    <w:uiPriority w:val="20"/>
    <w:qFormat/>
    <w:rsid w:val="00B92CAB"/>
    <w:rPr>
      <w:i/>
      <w:iCs/>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 Знак"/>
    <w:link w:val="af0"/>
    <w:semiHidden/>
    <w:locked/>
    <w:rsid w:val="00BD6B24"/>
    <w:rPr>
      <w:rFonts w:ascii="Courier New" w:hAnsi="Courier New" w:cs="Courier New"/>
    </w:rPr>
  </w:style>
  <w:style w:type="paragraph" w:styleId="af0">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
    <w:basedOn w:val="a"/>
    <w:link w:val="11"/>
    <w:semiHidden/>
    <w:unhideWhenUsed/>
    <w:rsid w:val="00BD6B24"/>
    <w:pPr>
      <w:widowControl/>
      <w:autoSpaceDE/>
      <w:autoSpaceDN/>
      <w:adjustRightInd/>
    </w:pPr>
    <w:rPr>
      <w:rFonts w:ascii="Courier New" w:eastAsiaTheme="minorHAnsi" w:hAnsi="Courier New" w:cs="Courier New"/>
      <w:sz w:val="22"/>
      <w:szCs w:val="22"/>
      <w:lang w:eastAsia="en-US"/>
    </w:rPr>
  </w:style>
  <w:style w:type="character" w:customStyle="1" w:styleId="af1">
    <w:name w:val="Текст Знак"/>
    <w:basedOn w:val="a0"/>
    <w:uiPriority w:val="99"/>
    <w:semiHidden/>
    <w:rsid w:val="00BD6B24"/>
    <w:rPr>
      <w:rFonts w:ascii="Consolas" w:eastAsiaTheme="minorEastAsia" w:hAnsi="Consolas" w:cs="Times New Roman"/>
      <w:sz w:val="21"/>
      <w:szCs w:val="21"/>
      <w:lang w:eastAsia="ru-RU"/>
    </w:rPr>
  </w:style>
  <w:style w:type="paragraph" w:styleId="af2">
    <w:name w:val="No Spacing"/>
    <w:uiPriority w:val="1"/>
    <w:qFormat/>
    <w:rsid w:val="008D0AB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523">
      <w:bodyDiv w:val="1"/>
      <w:marLeft w:val="0"/>
      <w:marRight w:val="0"/>
      <w:marTop w:val="0"/>
      <w:marBottom w:val="0"/>
      <w:divBdr>
        <w:top w:val="none" w:sz="0" w:space="0" w:color="auto"/>
        <w:left w:val="none" w:sz="0" w:space="0" w:color="auto"/>
        <w:bottom w:val="none" w:sz="0" w:space="0" w:color="auto"/>
        <w:right w:val="none" w:sz="0" w:space="0" w:color="auto"/>
      </w:divBdr>
    </w:div>
    <w:div w:id="328027686">
      <w:bodyDiv w:val="1"/>
      <w:marLeft w:val="0"/>
      <w:marRight w:val="0"/>
      <w:marTop w:val="0"/>
      <w:marBottom w:val="0"/>
      <w:divBdr>
        <w:top w:val="none" w:sz="0" w:space="0" w:color="auto"/>
        <w:left w:val="none" w:sz="0" w:space="0" w:color="auto"/>
        <w:bottom w:val="none" w:sz="0" w:space="0" w:color="auto"/>
        <w:right w:val="none" w:sz="0" w:space="0" w:color="auto"/>
      </w:divBdr>
    </w:div>
    <w:div w:id="417798249">
      <w:bodyDiv w:val="1"/>
      <w:marLeft w:val="0"/>
      <w:marRight w:val="0"/>
      <w:marTop w:val="0"/>
      <w:marBottom w:val="0"/>
      <w:divBdr>
        <w:top w:val="none" w:sz="0" w:space="0" w:color="auto"/>
        <w:left w:val="none" w:sz="0" w:space="0" w:color="auto"/>
        <w:bottom w:val="none" w:sz="0" w:space="0" w:color="auto"/>
        <w:right w:val="none" w:sz="0" w:space="0" w:color="auto"/>
      </w:divBdr>
    </w:div>
    <w:div w:id="424351401">
      <w:bodyDiv w:val="1"/>
      <w:marLeft w:val="0"/>
      <w:marRight w:val="0"/>
      <w:marTop w:val="0"/>
      <w:marBottom w:val="0"/>
      <w:divBdr>
        <w:top w:val="none" w:sz="0" w:space="0" w:color="auto"/>
        <w:left w:val="none" w:sz="0" w:space="0" w:color="auto"/>
        <w:bottom w:val="none" w:sz="0" w:space="0" w:color="auto"/>
        <w:right w:val="none" w:sz="0" w:space="0" w:color="auto"/>
      </w:divBdr>
    </w:div>
    <w:div w:id="432944442">
      <w:bodyDiv w:val="1"/>
      <w:marLeft w:val="0"/>
      <w:marRight w:val="0"/>
      <w:marTop w:val="0"/>
      <w:marBottom w:val="0"/>
      <w:divBdr>
        <w:top w:val="none" w:sz="0" w:space="0" w:color="auto"/>
        <w:left w:val="none" w:sz="0" w:space="0" w:color="auto"/>
        <w:bottom w:val="none" w:sz="0" w:space="0" w:color="auto"/>
        <w:right w:val="none" w:sz="0" w:space="0" w:color="auto"/>
      </w:divBdr>
    </w:div>
    <w:div w:id="455293935">
      <w:bodyDiv w:val="1"/>
      <w:marLeft w:val="0"/>
      <w:marRight w:val="0"/>
      <w:marTop w:val="0"/>
      <w:marBottom w:val="0"/>
      <w:divBdr>
        <w:top w:val="none" w:sz="0" w:space="0" w:color="auto"/>
        <w:left w:val="none" w:sz="0" w:space="0" w:color="auto"/>
        <w:bottom w:val="none" w:sz="0" w:space="0" w:color="auto"/>
        <w:right w:val="none" w:sz="0" w:space="0" w:color="auto"/>
      </w:divBdr>
    </w:div>
    <w:div w:id="805969296">
      <w:bodyDiv w:val="1"/>
      <w:marLeft w:val="0"/>
      <w:marRight w:val="0"/>
      <w:marTop w:val="0"/>
      <w:marBottom w:val="0"/>
      <w:divBdr>
        <w:top w:val="none" w:sz="0" w:space="0" w:color="auto"/>
        <w:left w:val="none" w:sz="0" w:space="0" w:color="auto"/>
        <w:bottom w:val="none" w:sz="0" w:space="0" w:color="auto"/>
        <w:right w:val="none" w:sz="0" w:space="0" w:color="auto"/>
      </w:divBdr>
    </w:div>
    <w:div w:id="1047071352">
      <w:bodyDiv w:val="1"/>
      <w:marLeft w:val="0"/>
      <w:marRight w:val="0"/>
      <w:marTop w:val="0"/>
      <w:marBottom w:val="0"/>
      <w:divBdr>
        <w:top w:val="none" w:sz="0" w:space="0" w:color="auto"/>
        <w:left w:val="none" w:sz="0" w:space="0" w:color="auto"/>
        <w:bottom w:val="none" w:sz="0" w:space="0" w:color="auto"/>
        <w:right w:val="none" w:sz="0" w:space="0" w:color="auto"/>
      </w:divBdr>
    </w:div>
    <w:div w:id="1060250023">
      <w:bodyDiv w:val="1"/>
      <w:marLeft w:val="0"/>
      <w:marRight w:val="0"/>
      <w:marTop w:val="0"/>
      <w:marBottom w:val="0"/>
      <w:divBdr>
        <w:top w:val="none" w:sz="0" w:space="0" w:color="auto"/>
        <w:left w:val="none" w:sz="0" w:space="0" w:color="auto"/>
        <w:bottom w:val="none" w:sz="0" w:space="0" w:color="auto"/>
        <w:right w:val="none" w:sz="0" w:space="0" w:color="auto"/>
      </w:divBdr>
    </w:div>
    <w:div w:id="1160077574">
      <w:bodyDiv w:val="1"/>
      <w:marLeft w:val="0"/>
      <w:marRight w:val="0"/>
      <w:marTop w:val="0"/>
      <w:marBottom w:val="0"/>
      <w:divBdr>
        <w:top w:val="none" w:sz="0" w:space="0" w:color="auto"/>
        <w:left w:val="none" w:sz="0" w:space="0" w:color="auto"/>
        <w:bottom w:val="none" w:sz="0" w:space="0" w:color="auto"/>
        <w:right w:val="none" w:sz="0" w:space="0" w:color="auto"/>
      </w:divBdr>
    </w:div>
    <w:div w:id="1410423906">
      <w:bodyDiv w:val="1"/>
      <w:marLeft w:val="0"/>
      <w:marRight w:val="0"/>
      <w:marTop w:val="0"/>
      <w:marBottom w:val="0"/>
      <w:divBdr>
        <w:top w:val="none" w:sz="0" w:space="0" w:color="auto"/>
        <w:left w:val="none" w:sz="0" w:space="0" w:color="auto"/>
        <w:bottom w:val="none" w:sz="0" w:space="0" w:color="auto"/>
        <w:right w:val="none" w:sz="0" w:space="0" w:color="auto"/>
      </w:divBdr>
    </w:div>
    <w:div w:id="1491479872">
      <w:bodyDiv w:val="1"/>
      <w:marLeft w:val="0"/>
      <w:marRight w:val="0"/>
      <w:marTop w:val="0"/>
      <w:marBottom w:val="0"/>
      <w:divBdr>
        <w:top w:val="none" w:sz="0" w:space="0" w:color="auto"/>
        <w:left w:val="none" w:sz="0" w:space="0" w:color="auto"/>
        <w:bottom w:val="none" w:sz="0" w:space="0" w:color="auto"/>
        <w:right w:val="none" w:sz="0" w:space="0" w:color="auto"/>
      </w:divBdr>
    </w:div>
    <w:div w:id="1546209509">
      <w:bodyDiv w:val="1"/>
      <w:marLeft w:val="0"/>
      <w:marRight w:val="0"/>
      <w:marTop w:val="0"/>
      <w:marBottom w:val="0"/>
      <w:divBdr>
        <w:top w:val="none" w:sz="0" w:space="0" w:color="auto"/>
        <w:left w:val="none" w:sz="0" w:space="0" w:color="auto"/>
        <w:bottom w:val="none" w:sz="0" w:space="0" w:color="auto"/>
        <w:right w:val="none" w:sz="0" w:space="0" w:color="auto"/>
      </w:divBdr>
      <w:divsChild>
        <w:div w:id="1249196743">
          <w:marLeft w:val="0"/>
          <w:marRight w:val="0"/>
          <w:marTop w:val="0"/>
          <w:marBottom w:val="0"/>
          <w:divBdr>
            <w:top w:val="none" w:sz="0" w:space="0" w:color="auto"/>
            <w:left w:val="none" w:sz="0" w:space="0" w:color="auto"/>
            <w:bottom w:val="none" w:sz="0" w:space="0" w:color="auto"/>
            <w:right w:val="none" w:sz="0" w:space="0" w:color="auto"/>
          </w:divBdr>
          <w:divsChild>
            <w:div w:id="699402533">
              <w:marLeft w:val="0"/>
              <w:marRight w:val="0"/>
              <w:marTop w:val="0"/>
              <w:marBottom w:val="240"/>
              <w:divBdr>
                <w:top w:val="none" w:sz="0" w:space="0" w:color="auto"/>
                <w:left w:val="none" w:sz="0" w:space="0" w:color="auto"/>
                <w:bottom w:val="none" w:sz="0" w:space="0" w:color="auto"/>
                <w:right w:val="none" w:sz="0" w:space="0" w:color="auto"/>
              </w:divBdr>
              <w:divsChild>
                <w:div w:id="13651364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75783310">
          <w:marLeft w:val="0"/>
          <w:marRight w:val="0"/>
          <w:marTop w:val="0"/>
          <w:marBottom w:val="0"/>
          <w:divBdr>
            <w:top w:val="none" w:sz="0" w:space="0" w:color="auto"/>
            <w:left w:val="single" w:sz="6" w:space="2" w:color="FF0000"/>
            <w:bottom w:val="none" w:sz="0" w:space="0" w:color="auto"/>
            <w:right w:val="none" w:sz="0" w:space="0" w:color="auto"/>
          </w:divBdr>
          <w:divsChild>
            <w:div w:id="1789423556">
              <w:marLeft w:val="-525"/>
              <w:marRight w:val="0"/>
              <w:marTop w:val="0"/>
              <w:marBottom w:val="240"/>
              <w:divBdr>
                <w:top w:val="none" w:sz="0" w:space="0" w:color="auto"/>
                <w:left w:val="none" w:sz="0" w:space="0" w:color="auto"/>
                <w:bottom w:val="none" w:sz="0" w:space="0" w:color="auto"/>
                <w:right w:val="none" w:sz="0" w:space="0" w:color="auto"/>
              </w:divBdr>
            </w:div>
            <w:div w:id="520554629">
              <w:marLeft w:val="0"/>
              <w:marRight w:val="0"/>
              <w:marTop w:val="0"/>
              <w:marBottom w:val="240"/>
              <w:divBdr>
                <w:top w:val="none" w:sz="0" w:space="0" w:color="auto"/>
                <w:left w:val="none" w:sz="0" w:space="0" w:color="auto"/>
                <w:bottom w:val="none" w:sz="0" w:space="0" w:color="auto"/>
                <w:right w:val="none" w:sz="0" w:space="0" w:color="auto"/>
              </w:divBdr>
              <w:divsChild>
                <w:div w:id="1958296744">
                  <w:marLeft w:val="-450"/>
                  <w:marRight w:val="0"/>
                  <w:marTop w:val="0"/>
                  <w:marBottom w:val="240"/>
                  <w:divBdr>
                    <w:top w:val="none" w:sz="0" w:space="0" w:color="auto"/>
                    <w:left w:val="none" w:sz="0" w:space="0" w:color="auto"/>
                    <w:bottom w:val="none" w:sz="0" w:space="0" w:color="auto"/>
                    <w:right w:val="none" w:sz="0" w:space="0" w:color="auto"/>
                  </w:divBdr>
                  <w:divsChild>
                    <w:div w:id="1320958439">
                      <w:marLeft w:val="0"/>
                      <w:marRight w:val="0"/>
                      <w:marTop w:val="0"/>
                      <w:marBottom w:val="240"/>
                      <w:divBdr>
                        <w:top w:val="none" w:sz="0" w:space="0" w:color="auto"/>
                        <w:left w:val="none" w:sz="0" w:space="0" w:color="auto"/>
                        <w:bottom w:val="none" w:sz="0" w:space="0" w:color="auto"/>
                        <w:right w:val="none" w:sz="0" w:space="0" w:color="auto"/>
                      </w:divBdr>
                    </w:div>
                  </w:divsChild>
                </w:div>
                <w:div w:id="6037326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 w:id="1558592503">
      <w:bodyDiv w:val="1"/>
      <w:marLeft w:val="0"/>
      <w:marRight w:val="0"/>
      <w:marTop w:val="0"/>
      <w:marBottom w:val="0"/>
      <w:divBdr>
        <w:top w:val="none" w:sz="0" w:space="0" w:color="auto"/>
        <w:left w:val="none" w:sz="0" w:space="0" w:color="auto"/>
        <w:bottom w:val="none" w:sz="0" w:space="0" w:color="auto"/>
        <w:right w:val="none" w:sz="0" w:space="0" w:color="auto"/>
      </w:divBdr>
    </w:div>
    <w:div w:id="1650355749">
      <w:bodyDiv w:val="1"/>
      <w:marLeft w:val="0"/>
      <w:marRight w:val="0"/>
      <w:marTop w:val="0"/>
      <w:marBottom w:val="0"/>
      <w:divBdr>
        <w:top w:val="none" w:sz="0" w:space="0" w:color="auto"/>
        <w:left w:val="none" w:sz="0" w:space="0" w:color="auto"/>
        <w:bottom w:val="none" w:sz="0" w:space="0" w:color="auto"/>
        <w:right w:val="none" w:sz="0" w:space="0" w:color="auto"/>
      </w:divBdr>
    </w:div>
    <w:div w:id="1707637514">
      <w:bodyDiv w:val="1"/>
      <w:marLeft w:val="0"/>
      <w:marRight w:val="0"/>
      <w:marTop w:val="0"/>
      <w:marBottom w:val="0"/>
      <w:divBdr>
        <w:top w:val="none" w:sz="0" w:space="0" w:color="auto"/>
        <w:left w:val="none" w:sz="0" w:space="0" w:color="auto"/>
        <w:bottom w:val="none" w:sz="0" w:space="0" w:color="auto"/>
        <w:right w:val="none" w:sz="0" w:space="0" w:color="auto"/>
      </w:divBdr>
    </w:div>
    <w:div w:id="1775904439">
      <w:bodyDiv w:val="1"/>
      <w:marLeft w:val="0"/>
      <w:marRight w:val="0"/>
      <w:marTop w:val="0"/>
      <w:marBottom w:val="0"/>
      <w:divBdr>
        <w:top w:val="none" w:sz="0" w:space="0" w:color="auto"/>
        <w:left w:val="none" w:sz="0" w:space="0" w:color="auto"/>
        <w:bottom w:val="none" w:sz="0" w:space="0" w:color="auto"/>
        <w:right w:val="none" w:sz="0" w:space="0" w:color="auto"/>
      </w:divBdr>
    </w:div>
    <w:div w:id="2002149167">
      <w:bodyDiv w:val="1"/>
      <w:marLeft w:val="0"/>
      <w:marRight w:val="0"/>
      <w:marTop w:val="0"/>
      <w:marBottom w:val="0"/>
      <w:divBdr>
        <w:top w:val="none" w:sz="0" w:space="0" w:color="auto"/>
        <w:left w:val="none" w:sz="0" w:space="0" w:color="auto"/>
        <w:bottom w:val="none" w:sz="0" w:space="0" w:color="auto"/>
        <w:right w:val="none" w:sz="0" w:space="0" w:color="auto"/>
      </w:divBdr>
    </w:div>
    <w:div w:id="20953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0AB2-B0B1-4881-89B3-B75BA0E5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2</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 Похила</dc:creator>
  <cp:keywords/>
  <dc:description/>
  <cp:lastModifiedBy>Гончар Елена Дмитриевна</cp:lastModifiedBy>
  <cp:revision>53</cp:revision>
  <cp:lastPrinted>2025-11-18T12:28:00Z</cp:lastPrinted>
  <dcterms:created xsi:type="dcterms:W3CDTF">2025-09-24T10:55:00Z</dcterms:created>
  <dcterms:modified xsi:type="dcterms:W3CDTF">2025-12-05T08:57:00Z</dcterms:modified>
</cp:coreProperties>
</file>