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2E3" w:rsidRDefault="00E852E3" w:rsidP="00E852E3">
      <w:pPr>
        <w:shd w:val="clear" w:color="auto" w:fill="FFFFFF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СРАВНИТЕЛЬНАЯ ТАБЛИЦА</w:t>
      </w:r>
    </w:p>
    <w:p w:rsidR="00E852E3" w:rsidRDefault="00E852E3" w:rsidP="00E852E3">
      <w:pPr>
        <w:pStyle w:val="a3"/>
        <w:shd w:val="clear" w:color="auto" w:fill="FFFFFF"/>
        <w:jc w:val="center"/>
        <w:rPr>
          <w:color w:val="000000"/>
        </w:rPr>
      </w:pPr>
      <w:r>
        <w:rPr>
          <w:color w:val="000000"/>
        </w:rPr>
        <w:t>к проекту закона Приднестровской Молдавской Республики</w:t>
      </w:r>
    </w:p>
    <w:p w:rsidR="00E852E3" w:rsidRDefault="00E852E3" w:rsidP="00E852E3">
      <w:pPr>
        <w:jc w:val="center"/>
      </w:pPr>
      <w:r>
        <w:t>«О</w:t>
      </w:r>
      <w:r w:rsidR="002012F1">
        <w:t xml:space="preserve"> внесении изменений и дополнения</w:t>
      </w:r>
      <w:bookmarkStart w:id="0" w:name="_GoBack"/>
      <w:bookmarkEnd w:id="0"/>
      <w:r>
        <w:t xml:space="preserve"> в Закон Приднестровской Молдавской Республики </w:t>
      </w:r>
    </w:p>
    <w:p w:rsidR="00E852E3" w:rsidRDefault="00E852E3" w:rsidP="00E852E3">
      <w:pPr>
        <w:jc w:val="center"/>
        <w:rPr>
          <w:color w:val="000000"/>
        </w:rPr>
      </w:pPr>
      <w:r>
        <w:t>«О безопасности дорожного движения»</w:t>
      </w:r>
    </w:p>
    <w:p w:rsidR="00E852E3" w:rsidRDefault="00E852E3" w:rsidP="00E852E3">
      <w:pPr>
        <w:jc w:val="center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653"/>
      </w:tblGrid>
      <w:tr w:rsidR="00E852E3" w:rsidTr="003038D3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E3" w:rsidRDefault="00E852E3" w:rsidP="003038D3">
            <w:pPr>
              <w:jc w:val="center"/>
            </w:pPr>
            <w:r>
              <w:t>Закон Приднестровской Молдавской Республики от 12 января 2017 года № 17-З-VI «О безопасности дорожного движения» (САЗ 17-3)</w:t>
            </w:r>
          </w:p>
        </w:tc>
      </w:tr>
      <w:tr w:rsidR="00E852E3" w:rsidTr="003038D3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E3" w:rsidRDefault="00E852E3" w:rsidP="003038D3">
            <w:pPr>
              <w:jc w:val="center"/>
            </w:pPr>
            <w:r>
              <w:t>Действующая редакция</w:t>
            </w:r>
          </w:p>
          <w:p w:rsidR="00E852E3" w:rsidRDefault="00E852E3" w:rsidP="003038D3">
            <w:pPr>
              <w:jc w:val="center"/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E3" w:rsidRDefault="00E852E3" w:rsidP="003038D3">
            <w:pPr>
              <w:jc w:val="center"/>
            </w:pPr>
            <w:r>
              <w:t>Предлагаемая редакция</w:t>
            </w:r>
          </w:p>
          <w:p w:rsidR="00E852E3" w:rsidRDefault="00E852E3" w:rsidP="003038D3">
            <w:pPr>
              <w:jc w:val="center"/>
            </w:pPr>
          </w:p>
        </w:tc>
      </w:tr>
      <w:tr w:rsidR="00E852E3" w:rsidTr="003038D3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  <w:r w:rsidRPr="00BF6FBB">
              <w:rPr>
                <w:b/>
                <w:bCs/>
              </w:rPr>
              <w:t>Статья 2. Основные термины</w:t>
            </w:r>
          </w:p>
          <w:p w:rsidR="00E852E3" w:rsidRDefault="00E852E3" w:rsidP="003038D3">
            <w:pPr>
              <w:spacing w:line="216" w:lineRule="auto"/>
              <w:ind w:firstLine="318"/>
              <w:jc w:val="both"/>
            </w:pPr>
            <w:r>
              <w:t>…</w:t>
            </w:r>
          </w:p>
          <w:p w:rsidR="00E852E3" w:rsidRDefault="00E852E3" w:rsidP="003038D3">
            <w:pPr>
              <w:spacing w:line="216" w:lineRule="auto"/>
              <w:ind w:firstLine="318"/>
              <w:jc w:val="both"/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  <w:r>
              <w:t xml:space="preserve">я-1) </w:t>
            </w:r>
            <w:r w:rsidRPr="00354FA1">
              <w:rPr>
                <w:b/>
                <w:bCs/>
              </w:rPr>
              <w:t>Отсутствует.</w:t>
            </w: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я-2) Отсутствует.</w:t>
            </w: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</w:pPr>
            <w:r>
              <w:rPr>
                <w:b/>
                <w:bCs/>
              </w:rPr>
              <w:t>я-3) Отсутствует.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  <w:r w:rsidRPr="00BF6FBB">
              <w:rPr>
                <w:b/>
                <w:bCs/>
              </w:rPr>
              <w:t>Статья 2. Основные термины</w:t>
            </w:r>
          </w:p>
          <w:p w:rsidR="00E852E3" w:rsidRDefault="00E852E3" w:rsidP="003038D3">
            <w:pPr>
              <w:spacing w:line="216" w:lineRule="auto"/>
              <w:ind w:firstLine="318"/>
              <w:jc w:val="both"/>
            </w:pPr>
            <w:r>
              <w:t>…</w:t>
            </w:r>
          </w:p>
          <w:p w:rsidR="00E852E3" w:rsidRDefault="00E852E3" w:rsidP="003038D3">
            <w:pPr>
              <w:spacing w:line="216" w:lineRule="auto"/>
              <w:ind w:firstLine="318"/>
              <w:jc w:val="both"/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  <w:r w:rsidRPr="00DA7D06">
              <w:rPr>
                <w:b/>
                <w:bCs/>
              </w:rPr>
              <w:t>я-1)</w:t>
            </w:r>
            <w:r>
              <w:t xml:space="preserve"> </w:t>
            </w:r>
            <w:r>
              <w:rPr>
                <w:b/>
                <w:bCs/>
              </w:rPr>
              <w:t>с</w:t>
            </w:r>
            <w:r w:rsidRPr="006A2E29">
              <w:rPr>
                <w:b/>
                <w:bCs/>
              </w:rPr>
              <w:t>тационарное средство фиксации - используемое на</w:t>
            </w:r>
            <w:r>
              <w:rPr>
                <w:b/>
                <w:bCs/>
              </w:rPr>
              <w:t xml:space="preserve"> автомобильной</w:t>
            </w:r>
            <w:r w:rsidRPr="006A2E29">
              <w:rPr>
                <w:b/>
                <w:bCs/>
              </w:rPr>
              <w:t xml:space="preserve"> дороге работающее в автоматическом режиме специальное техническое средство, имеющее функции фото- и киносъемки, видеозаписи, или </w:t>
            </w:r>
            <w:r>
              <w:rPr>
                <w:b/>
                <w:bCs/>
              </w:rPr>
              <w:t xml:space="preserve">специальное техническое </w:t>
            </w:r>
            <w:r w:rsidRPr="006A2E29">
              <w:rPr>
                <w:b/>
                <w:bCs/>
              </w:rPr>
              <w:t>средств</w:t>
            </w:r>
            <w:r>
              <w:rPr>
                <w:b/>
                <w:bCs/>
              </w:rPr>
              <w:t>о</w:t>
            </w:r>
            <w:r w:rsidRPr="006A2E29">
              <w:rPr>
                <w:b/>
                <w:bCs/>
              </w:rPr>
              <w:t xml:space="preserve"> фото- и киносъемки, видеозаписи для фиксации нарушений правил дорожного движения, которое обеспечивает контроль за дорожным движением в режиме непрерывной работы, является элементом обустройства дорог и размещается стационарно на стойках, опорах, зданиях и других конструкциях</w:t>
            </w:r>
            <w:r>
              <w:rPr>
                <w:b/>
                <w:bCs/>
              </w:rPr>
              <w:t>.</w:t>
            </w: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я-2) п</w:t>
            </w:r>
            <w:r w:rsidRPr="006A2E29">
              <w:rPr>
                <w:b/>
                <w:bCs/>
              </w:rPr>
              <w:t>ередвижное средство фиксации - используемое на</w:t>
            </w:r>
            <w:r>
              <w:rPr>
                <w:b/>
                <w:bCs/>
              </w:rPr>
              <w:t xml:space="preserve"> автомобильной</w:t>
            </w:r>
            <w:r w:rsidRPr="006A2E29">
              <w:rPr>
                <w:b/>
                <w:bCs/>
              </w:rPr>
              <w:t xml:space="preserve"> дороге работающее в автоматическом режиме специальное технические средство, имеющее функции фото- и киносъемки, видеозаписи, или</w:t>
            </w:r>
            <w:r>
              <w:rPr>
                <w:b/>
                <w:bCs/>
              </w:rPr>
              <w:t xml:space="preserve"> специальное техническое</w:t>
            </w:r>
            <w:r w:rsidRPr="006A2E29">
              <w:rPr>
                <w:b/>
                <w:bCs/>
              </w:rPr>
              <w:t xml:space="preserve"> средств</w:t>
            </w:r>
            <w:r>
              <w:rPr>
                <w:b/>
                <w:bCs/>
              </w:rPr>
              <w:t>о</w:t>
            </w:r>
            <w:r w:rsidRPr="006A2E29">
              <w:rPr>
                <w:b/>
                <w:bCs/>
              </w:rPr>
              <w:t xml:space="preserve"> фото- и киносъемки, видеозаписи для фиксации нарушений правил дорожного движения, которое обеспечивает контроль за дорожным движением в статическом режиме непрерывной работы в течение ограниченного промежутка времени и размещается на определенном участке дороги (могут быть установлены на специальных конструкциях</w:t>
            </w:r>
            <w:r>
              <w:rPr>
                <w:b/>
                <w:bCs/>
              </w:rPr>
              <w:t xml:space="preserve"> и т.д.</w:t>
            </w:r>
            <w:r w:rsidRPr="006A2E29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</w:p>
          <w:p w:rsidR="00E852E3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</w:p>
          <w:p w:rsidR="00E852E3" w:rsidRPr="00BF6FBB" w:rsidRDefault="00E852E3" w:rsidP="003038D3">
            <w:pPr>
              <w:spacing w:line="216" w:lineRule="auto"/>
              <w:ind w:firstLine="3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я-3) м</w:t>
            </w:r>
            <w:r w:rsidRPr="004571D8">
              <w:rPr>
                <w:b/>
                <w:bCs/>
              </w:rPr>
              <w:t>обильное средство фиксации - используемое на</w:t>
            </w:r>
            <w:r>
              <w:rPr>
                <w:b/>
                <w:bCs/>
              </w:rPr>
              <w:t xml:space="preserve"> автомобильной</w:t>
            </w:r>
            <w:r w:rsidRPr="004571D8">
              <w:rPr>
                <w:b/>
                <w:bCs/>
              </w:rPr>
              <w:t xml:space="preserve"> дороге работающее в автоматическом режиме специальное техническое средство, имеющее функции фото- и киносъемки, видеозаписи,</w:t>
            </w:r>
            <w:r w:rsidRPr="004571D8">
              <w:rPr>
                <w:b/>
                <w:bCs/>
                <w:sz w:val="28"/>
                <w:szCs w:val="28"/>
              </w:rPr>
              <w:t xml:space="preserve"> </w:t>
            </w:r>
            <w:r w:rsidRPr="004571D8">
              <w:rPr>
                <w:b/>
                <w:bCs/>
              </w:rPr>
              <w:t xml:space="preserve">или специальное техническое средство фото- и киносъемки, видеозаписи для фиксации нарушений правил дорожного движения, которое обеспечивает </w:t>
            </w:r>
            <w:r w:rsidRPr="004571D8">
              <w:rPr>
                <w:b/>
                <w:bCs/>
              </w:rPr>
              <w:lastRenderedPageBreak/>
              <w:t>контроль за дорожным движением в течение</w:t>
            </w:r>
            <w:r>
              <w:t xml:space="preserve"> </w:t>
            </w:r>
            <w:r w:rsidRPr="004571D8">
              <w:rPr>
                <w:b/>
                <w:bCs/>
              </w:rPr>
              <w:t>ограниченного промежутка времени в процессе участия в дорожном движении транспортного средства, на котором оно размещено.</w:t>
            </w:r>
          </w:p>
        </w:tc>
      </w:tr>
      <w:tr w:rsidR="00E852E3" w:rsidTr="003038D3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Статья 20. Мероприятия по организации дорожного движения</w:t>
            </w: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Pr="00693FF3" w:rsidRDefault="00E852E3" w:rsidP="003038D3">
            <w:pPr>
              <w:ind w:firstLine="318"/>
              <w:jc w:val="both"/>
            </w:pPr>
            <w:r w:rsidRPr="00693FF3">
              <w:t xml:space="preserve">3. </w:t>
            </w:r>
            <w:bookmarkStart w:id="1" w:name="_Hlk195080370"/>
            <w:r w:rsidRPr="00693FF3">
              <w:t>Скоростной режим движения транспортных средств измеряется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видеозаписи, перечень которых устанавливается уполномоченным Правительством Приднестровской Молдавской Республики исполнительным органом государственной власти в области технического регулирования и обеспечения единства измерений.</w:t>
            </w:r>
          </w:p>
          <w:p w:rsidR="00E852E3" w:rsidRPr="00693FF3" w:rsidRDefault="00E852E3" w:rsidP="003038D3">
            <w:pPr>
              <w:ind w:firstLine="318"/>
              <w:jc w:val="both"/>
            </w:pPr>
            <w:r>
              <w:t xml:space="preserve">    </w:t>
            </w:r>
            <w:r w:rsidRPr="00693FF3">
              <w:t xml:space="preserve">Применение мер по фиксации нарушений Правил дорожного движения Приднестровской Молдавской Республики при помощи работающих </w:t>
            </w:r>
            <w:r w:rsidRPr="00693FF3">
              <w:br/>
              <w:t xml:space="preserve">в автоматическом режиме специальных технических средств, имеющих функции фото- и киносъемки, видеозаписи, или средств фото- и киносъемки, видеозаписи может осуществляться должностными лицами уполномоченного Президентом Приднестровской Молдавской Республики исполнительного органа государственной власти, в ведении которого находится обеспечение безопасности дорожного движения, на служебном транспорте в стационарном режиме, за исключением случаев, предусмотренных в пункте 4 настоящей статьи, при условии, что не создаются помехи другим участникам дорожного движения. </w:t>
            </w:r>
          </w:p>
          <w:p w:rsidR="00E852E3" w:rsidRPr="00693FF3" w:rsidRDefault="00E852E3" w:rsidP="003038D3">
            <w:pPr>
              <w:ind w:firstLine="318"/>
              <w:jc w:val="both"/>
            </w:pPr>
            <w:bookmarkStart w:id="2" w:name="_Hlk194931762"/>
            <w:bookmarkEnd w:id="1"/>
            <w:r w:rsidRPr="00693FF3">
              <w:t>Запрещается установка и (или) эксплуатация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без оборудования соответствующих участков автомобильных дорог информационными знаками «</w:t>
            </w:r>
            <w:proofErr w:type="spellStart"/>
            <w:r w:rsidRPr="00693FF3">
              <w:t>Фотовидеофиксация</w:t>
            </w:r>
            <w:proofErr w:type="spellEnd"/>
            <w:r w:rsidRPr="00693FF3">
              <w:t xml:space="preserve">», предусмотренными Правилами дорожного движения </w:t>
            </w:r>
            <w:r w:rsidRPr="00693FF3">
              <w:lastRenderedPageBreak/>
              <w:t>Приднестровской Молдавской Республики. Указанные информационные знаки устанавливаются на расстоянии не менее 50 (пятидесяти) метров до места установки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Расстояние видимости указанных знаков должно быть не менее 100 (ста) метров. Зона действия указанного информационного знака распространяется до ближайшего перекрёстка.</w:t>
            </w:r>
          </w:p>
          <w:p w:rsidR="00E852E3" w:rsidRPr="00693FF3" w:rsidRDefault="00E852E3" w:rsidP="003038D3">
            <w:pPr>
              <w:ind w:firstLine="318"/>
              <w:jc w:val="both"/>
            </w:pPr>
            <w:bookmarkStart w:id="3" w:name="_Hlk195082883"/>
            <w:bookmarkEnd w:id="2"/>
            <w:r w:rsidRPr="00693FF3">
              <w:t>Требования части третьей настоящего пункта распространяются на все случаи фиксации нарушений Правил дорожного движения Приднестровской Молдавской Республики при помощи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за исключением пункта 4 настоящей статьи.</w:t>
            </w:r>
          </w:p>
          <w:p w:rsidR="00E852E3" w:rsidRPr="00693FF3" w:rsidRDefault="00E852E3" w:rsidP="003038D3">
            <w:pPr>
              <w:ind w:firstLine="318"/>
              <w:jc w:val="both"/>
            </w:pPr>
            <w:r w:rsidRPr="00693FF3">
              <w:t>При необходимости пресечения административного правонарушения и составления протокола об административном правонарушении или вынесения постановления по делу об административном правонарушении остановка транспортного средства осуществляется при условии соблюдения требований, предусмотренных пунктом 1 настоящей статьи.</w:t>
            </w:r>
          </w:p>
          <w:p w:rsidR="00E852E3" w:rsidRPr="00693FF3" w:rsidRDefault="00E852E3" w:rsidP="003038D3">
            <w:pPr>
              <w:ind w:firstLine="318"/>
              <w:jc w:val="both"/>
            </w:pPr>
            <w:r w:rsidRPr="00693FF3">
              <w:t xml:space="preserve">Уполномоченным Президентом Приднестровской Молдавской Республики исполнительным органом государственной власти, в ведении которого находится обеспечение безопасности дорожного движения, на своём официальном сайте не позднее чем за 24 (двадцать четыре) часа до начала проведения мероприятий, предусмотренных настоящим пунктом, размещается информация о местах установки стационарных и передвижных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      </w:r>
          </w:p>
          <w:bookmarkEnd w:id="3"/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Default="00E852E3" w:rsidP="003038D3">
            <w:pPr>
              <w:jc w:val="both"/>
              <w:rPr>
                <w:b/>
                <w:bCs/>
              </w:rPr>
            </w:pPr>
          </w:p>
          <w:p w:rsidR="00E852E3" w:rsidRPr="00BF6FBB" w:rsidRDefault="00E852E3" w:rsidP="003038D3">
            <w:pPr>
              <w:jc w:val="both"/>
              <w:rPr>
                <w:b/>
                <w:bCs/>
              </w:rPr>
            </w:pPr>
            <w:r>
              <w:t xml:space="preserve">         </w:t>
            </w:r>
            <w:r w:rsidRPr="00D65D3D">
              <w:t>4.</w:t>
            </w:r>
            <w:r>
              <w:rPr>
                <w:b/>
                <w:bCs/>
              </w:rPr>
              <w:t xml:space="preserve"> </w:t>
            </w:r>
            <w:r w:rsidRPr="00D65D3D">
              <w:t xml:space="preserve">Вне населённых пунктов допускается фиксация нарушений Правил дорожного движения Приднестровской Молдавской Республики с использованием средств фото- и киносъемки, видеозаписи на служебном транспорте с нанесёнными </w:t>
            </w:r>
            <w:proofErr w:type="spellStart"/>
            <w:r w:rsidRPr="00D65D3D">
              <w:t>цветографическими</w:t>
            </w:r>
            <w:proofErr w:type="spellEnd"/>
            <w:r w:rsidRPr="00D65D3D">
              <w:t xml:space="preserve"> схемами и включёнными проблесковыми маячками в движении, в том числе вне зоны действия информационных знаков «</w:t>
            </w:r>
            <w:proofErr w:type="spellStart"/>
            <w:r w:rsidRPr="00D65D3D">
              <w:t>Фотовидеофиксация</w:t>
            </w:r>
            <w:proofErr w:type="spellEnd"/>
            <w:r w:rsidRPr="00D65D3D">
              <w:t>». В этом случае, при</w:t>
            </w:r>
            <w:r w:rsidRPr="00D65D3D">
              <w:rPr>
                <w:b/>
                <w:bCs/>
              </w:rPr>
              <w:t xml:space="preserve"> </w:t>
            </w:r>
            <w:r w:rsidRPr="00D65D3D">
              <w:t>выявлении факта нарушения Правил</w:t>
            </w:r>
            <w:r w:rsidRPr="00D65D3D">
              <w:rPr>
                <w:b/>
                <w:bCs/>
              </w:rPr>
              <w:t xml:space="preserve"> </w:t>
            </w:r>
            <w:r w:rsidRPr="00D65D3D">
              <w:lastRenderedPageBreak/>
              <w:t>дорожного движения Приднестровской Молдавской Республики, уполномоченные должностные лица, указанные в настоящей статье, обязаны пресечь такое нарушение и незамедлительно составить протокол об административном правонарушении или вынести постановление в порядке, предусмотренном действующим законодательством Приднестровской Молдавской Республики, непосредственно на месте его совершения.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Статья 20. Мероприятия по организации дорожного движения</w:t>
            </w: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Pr="00C9621F" w:rsidRDefault="00E852E3" w:rsidP="003038D3">
            <w:pPr>
              <w:ind w:firstLine="540"/>
              <w:jc w:val="both"/>
            </w:pPr>
            <w:r w:rsidRPr="00693FF3">
              <w:t>3.</w:t>
            </w:r>
            <w:r>
              <w:rPr>
                <w:b/>
                <w:bCs/>
              </w:rPr>
              <w:t xml:space="preserve"> </w:t>
            </w:r>
            <w:r w:rsidRPr="00C9621F">
              <w:t>Скоростной режим движения транспортных средств измеряется работающими в автоматическом режиме специальными техническими средствами, имеющими функции фото- и киносъемки, видеозаписи, или</w:t>
            </w:r>
            <w:r>
              <w:t xml:space="preserve"> </w:t>
            </w:r>
            <w:r w:rsidRPr="007C3273">
              <w:rPr>
                <w:b/>
                <w:bCs/>
              </w:rPr>
              <w:t>специальными техническими</w:t>
            </w:r>
            <w:r w:rsidRPr="00C9621F">
              <w:t xml:space="preserve"> средствами фото- и киносъемки, видеозаписи, перечень которых устанавливается уполномоченным Правительством Приднестровской Молдавской Республики исполнительным органом государственной власти в области технического регулирования и обеспечения единства измерений.</w:t>
            </w:r>
          </w:p>
          <w:p w:rsidR="00E852E3" w:rsidRDefault="00E852E3" w:rsidP="003038D3">
            <w:pPr>
              <w:ind w:firstLine="540"/>
              <w:jc w:val="both"/>
            </w:pPr>
            <w:r w:rsidRPr="00C9621F">
              <w:t xml:space="preserve">Применение мер по фиксации нарушений Правил дорожного движения Приднестровской Молдавской Республики при помощи работающих </w:t>
            </w:r>
            <w:r w:rsidRPr="00C9621F">
              <w:br/>
              <w:t>в автоматическом режиме специальных технических средств, имеющих функции фото- и киносъемки, видеозаписи, или</w:t>
            </w:r>
            <w:r>
              <w:t xml:space="preserve"> специальных технических </w:t>
            </w:r>
            <w:r w:rsidRPr="00C9621F">
              <w:t>средств фото- и киносъемки, видеозаписи осуществля</w:t>
            </w:r>
            <w:r>
              <w:t>ет</w:t>
            </w:r>
            <w:r w:rsidRPr="00C9621F">
              <w:t>ся должностными лицами уполномоченного Президентом Приднестровской Молдавской Республики исполнительного органа государственной власти, в ведении которого находится обеспечение безопасности дорожного движения</w:t>
            </w:r>
            <w:r>
              <w:t>.</w:t>
            </w:r>
          </w:p>
          <w:p w:rsidR="00E852E3" w:rsidRPr="005053FC" w:rsidRDefault="00E852E3" w:rsidP="003038D3">
            <w:pPr>
              <w:ind w:firstLine="540"/>
              <w:jc w:val="both"/>
              <w:rPr>
                <w:b/>
                <w:bCs/>
              </w:rPr>
            </w:pPr>
            <w:r w:rsidRPr="005053FC">
              <w:rPr>
                <w:b/>
                <w:bCs/>
              </w:rPr>
              <w:t>Используемые на территории Приднестровской Молдавской Республики стационарные, передвижные, мобильные специальные технические средства должны обеспечивать контроль за соблюдением правил дорожного движения и осуществлять фиксацию в зоне своего обзора всех нарушений правил дорожного движения, для выявления которых они предназначены, а также должны быть утверждены в установленном порядке в качестве средств измерений</w:t>
            </w:r>
            <w:r>
              <w:rPr>
                <w:b/>
                <w:bCs/>
              </w:rPr>
              <w:t xml:space="preserve"> либо средств фото- и </w:t>
            </w:r>
            <w:proofErr w:type="spellStart"/>
            <w:r>
              <w:rPr>
                <w:b/>
                <w:bCs/>
              </w:rPr>
              <w:lastRenderedPageBreak/>
              <w:t>видеофиксации</w:t>
            </w:r>
            <w:proofErr w:type="spellEnd"/>
            <w:r w:rsidRPr="005053FC">
              <w:rPr>
                <w:b/>
                <w:bCs/>
              </w:rPr>
              <w:t>, иметь соответствующий сертификат.</w:t>
            </w:r>
          </w:p>
          <w:p w:rsidR="00E852E3" w:rsidRPr="005053FC" w:rsidRDefault="00E852E3" w:rsidP="003038D3">
            <w:pPr>
              <w:ind w:firstLine="540"/>
              <w:jc w:val="both"/>
              <w:rPr>
                <w:b/>
                <w:bCs/>
              </w:rPr>
            </w:pPr>
            <w:r w:rsidRPr="005053FC">
              <w:rPr>
                <w:b/>
                <w:bCs/>
              </w:rPr>
              <w:t>Размещение (установка) стационарных средств фиксации и</w:t>
            </w:r>
            <w:r w:rsidRPr="00022238">
              <w:t xml:space="preserve"> </w:t>
            </w:r>
            <w:r w:rsidRPr="005053FC">
              <w:rPr>
                <w:b/>
                <w:bCs/>
              </w:rPr>
              <w:t>передвижных средств фиксации допускается только:</w:t>
            </w:r>
          </w:p>
          <w:p w:rsidR="00E852E3" w:rsidRPr="005053FC" w:rsidRDefault="00E852E3" w:rsidP="003038D3">
            <w:pPr>
              <w:ind w:firstLine="540"/>
              <w:jc w:val="both"/>
              <w:rPr>
                <w:b/>
                <w:bCs/>
              </w:rPr>
            </w:pPr>
            <w:r w:rsidRPr="005053FC">
              <w:rPr>
                <w:b/>
                <w:bCs/>
              </w:rPr>
              <w:t>а) на аварийно-опасных участках дорог;</w:t>
            </w:r>
          </w:p>
          <w:p w:rsidR="00E852E3" w:rsidRPr="005053FC" w:rsidRDefault="00E852E3" w:rsidP="003038D3">
            <w:pPr>
              <w:ind w:firstLine="540"/>
              <w:rPr>
                <w:b/>
                <w:bCs/>
              </w:rPr>
            </w:pPr>
            <w:r w:rsidRPr="005053FC">
              <w:rPr>
                <w:b/>
                <w:bCs/>
              </w:rPr>
              <w:t>б) в местах производства работ по строительству, реконструкции, капитальному ремонту, ремонту дорог, а также других работ, требующих введения временных ограничения или прекращения движения транспортных средств по дороге;</w:t>
            </w:r>
          </w:p>
          <w:p w:rsidR="00E852E3" w:rsidRPr="005053FC" w:rsidRDefault="00E852E3" w:rsidP="003038D3">
            <w:pPr>
              <w:ind w:firstLine="540"/>
              <w:jc w:val="both"/>
              <w:rPr>
                <w:b/>
                <w:bCs/>
              </w:rPr>
            </w:pPr>
            <w:r w:rsidRPr="005053FC">
              <w:rPr>
                <w:b/>
                <w:bCs/>
              </w:rPr>
              <w:t>в) на пешеходных переходах;</w:t>
            </w:r>
          </w:p>
          <w:p w:rsidR="00E852E3" w:rsidRPr="005053FC" w:rsidRDefault="00E852E3" w:rsidP="003038D3">
            <w:pPr>
              <w:ind w:firstLine="540"/>
              <w:jc w:val="both"/>
              <w:rPr>
                <w:b/>
                <w:bCs/>
              </w:rPr>
            </w:pPr>
            <w:r w:rsidRPr="005053FC">
              <w:rPr>
                <w:b/>
                <w:bCs/>
              </w:rPr>
              <w:t>г) в местах, где запрещена стоянка или остановка транспортных средств;</w:t>
            </w:r>
          </w:p>
          <w:p w:rsidR="00E852E3" w:rsidRPr="005053FC" w:rsidRDefault="00E852E3" w:rsidP="003038D3">
            <w:pPr>
              <w:ind w:firstLine="540"/>
              <w:jc w:val="both"/>
              <w:rPr>
                <w:b/>
                <w:bCs/>
              </w:rPr>
            </w:pPr>
            <w:r w:rsidRPr="005053FC">
              <w:rPr>
                <w:b/>
                <w:bCs/>
              </w:rPr>
              <w:t>д) на перекрестках;</w:t>
            </w:r>
          </w:p>
          <w:p w:rsidR="00E852E3" w:rsidRDefault="00E852E3" w:rsidP="003038D3">
            <w:pPr>
              <w:ind w:firstLine="540"/>
              <w:jc w:val="both"/>
              <w:rPr>
                <w:b/>
                <w:bCs/>
              </w:rPr>
            </w:pPr>
            <w:r w:rsidRPr="005053FC">
              <w:rPr>
                <w:b/>
                <w:bCs/>
              </w:rPr>
              <w:t>е) в местах, определяемых при осуществлении контроля (надзора) в области безопасности дорожного движения.</w:t>
            </w:r>
          </w:p>
          <w:p w:rsidR="00E852E3" w:rsidRPr="005053FC" w:rsidRDefault="00E852E3" w:rsidP="003038D3">
            <w:pPr>
              <w:ind w:firstLine="540"/>
              <w:jc w:val="both"/>
              <w:rPr>
                <w:b/>
                <w:bCs/>
              </w:rPr>
            </w:pPr>
            <w:r w:rsidRPr="005053FC">
              <w:rPr>
                <w:b/>
                <w:bCs/>
              </w:rPr>
              <w:t>Зона контроля стационарными, передвижными или мобильными средствами фиксации вне границ населенного пункта должна располагаться на расстоянии не менее 150 (ста пятидесяти) метров от дорожного</w:t>
            </w:r>
            <w:r>
              <w:rPr>
                <w:b/>
                <w:bCs/>
              </w:rPr>
              <w:t xml:space="preserve"> знака </w:t>
            </w:r>
            <w:r w:rsidRPr="005053FC">
              <w:rPr>
                <w:b/>
                <w:bCs/>
              </w:rPr>
              <w:t>«</w:t>
            </w:r>
            <w:proofErr w:type="spellStart"/>
            <w:r w:rsidRPr="005053FC">
              <w:rPr>
                <w:b/>
                <w:bCs/>
              </w:rPr>
              <w:t>Фотовидеофиксация</w:t>
            </w:r>
            <w:proofErr w:type="spellEnd"/>
            <w:r w:rsidRPr="005053FC">
              <w:rPr>
                <w:b/>
                <w:bCs/>
              </w:rPr>
              <w:t>».</w:t>
            </w:r>
          </w:p>
          <w:p w:rsidR="00843A3E" w:rsidRPr="005053FC" w:rsidRDefault="00843A3E" w:rsidP="00843A3E">
            <w:pPr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Зона контроля стационарными</w:t>
            </w:r>
            <w:r w:rsidRPr="005053FC">
              <w:rPr>
                <w:b/>
                <w:bCs/>
              </w:rPr>
              <w:t xml:space="preserve"> средствами фиксации в границах населенного пункта должна располагаться на расстоянии не менее 100 (ста) метров от дорожного знака</w:t>
            </w:r>
            <w:r>
              <w:rPr>
                <w:b/>
                <w:bCs/>
              </w:rPr>
              <w:t xml:space="preserve"> </w:t>
            </w:r>
            <w:r w:rsidRPr="005053FC">
              <w:rPr>
                <w:b/>
                <w:bCs/>
              </w:rPr>
              <w:t>«</w:t>
            </w:r>
            <w:proofErr w:type="spellStart"/>
            <w:r w:rsidRPr="005053FC">
              <w:rPr>
                <w:b/>
                <w:bCs/>
              </w:rPr>
              <w:t>Фотовидеофиксация</w:t>
            </w:r>
            <w:proofErr w:type="spellEnd"/>
            <w:r w:rsidRPr="005053FC">
              <w:rPr>
                <w:b/>
                <w:bCs/>
              </w:rPr>
              <w:t>».</w:t>
            </w:r>
            <w:r w:rsidRPr="00E852E3">
              <w:rPr>
                <w:b/>
                <w:bCs/>
              </w:rPr>
              <w:t xml:space="preserve"> Зона действия указанного информационного знака распространяется до ближайшего перекрёстка.</w:t>
            </w:r>
          </w:p>
          <w:p w:rsidR="00E852E3" w:rsidRDefault="00E852E3" w:rsidP="003038D3">
            <w:pPr>
              <w:ind w:firstLine="540"/>
              <w:jc w:val="both"/>
              <w:rPr>
                <w:b/>
                <w:bCs/>
              </w:rPr>
            </w:pPr>
            <w:r w:rsidRPr="005053FC">
              <w:rPr>
                <w:b/>
                <w:bCs/>
              </w:rPr>
              <w:t>Зона контроля передвижными или мобильными средствами фиксации в границах населенного пункта должна располагаться на расстоянии не менее 100 (ста) метров от дорожного знака, обозначающего начало населенного пункта, установленного совместно с дорожным</w:t>
            </w:r>
            <w:r>
              <w:rPr>
                <w:b/>
                <w:bCs/>
              </w:rPr>
              <w:t xml:space="preserve"> </w:t>
            </w:r>
            <w:r w:rsidRPr="005053FC">
              <w:rPr>
                <w:b/>
                <w:bCs/>
              </w:rPr>
              <w:t>знаком</w:t>
            </w:r>
            <w:r>
              <w:rPr>
                <w:b/>
                <w:bCs/>
              </w:rPr>
              <w:t xml:space="preserve"> </w:t>
            </w:r>
            <w:r w:rsidRPr="005053FC">
              <w:rPr>
                <w:b/>
                <w:bCs/>
              </w:rPr>
              <w:t>«</w:t>
            </w:r>
            <w:proofErr w:type="spellStart"/>
            <w:r w:rsidRPr="005053FC">
              <w:rPr>
                <w:b/>
                <w:bCs/>
              </w:rPr>
              <w:t>Фотовидеофиксация</w:t>
            </w:r>
            <w:proofErr w:type="spellEnd"/>
            <w:r w:rsidRPr="005053FC">
              <w:rPr>
                <w:b/>
                <w:bCs/>
              </w:rPr>
              <w:t>».</w:t>
            </w:r>
          </w:p>
          <w:p w:rsidR="00E852E3" w:rsidRPr="005053FC" w:rsidRDefault="00E852E3" w:rsidP="003038D3">
            <w:pPr>
              <w:ind w:firstLine="540"/>
              <w:jc w:val="both"/>
              <w:rPr>
                <w:b/>
                <w:bCs/>
              </w:rPr>
            </w:pPr>
            <w:r w:rsidRPr="005053FC">
              <w:rPr>
                <w:b/>
                <w:bCs/>
              </w:rPr>
              <w:t xml:space="preserve">Размещение (установка) стационарных средств фиксации и передвижных средств фиксации осуществляется таким образом, чтобы </w:t>
            </w:r>
            <w:r w:rsidRPr="005053FC">
              <w:rPr>
                <w:b/>
                <w:bCs/>
              </w:rPr>
              <w:lastRenderedPageBreak/>
              <w:t>их зона контроля обеспечивала возможность фиксации нарушений правил дорожного движения в местах, предусмотренных частью четвертой</w:t>
            </w:r>
            <w:r>
              <w:rPr>
                <w:b/>
                <w:bCs/>
              </w:rPr>
              <w:t xml:space="preserve"> настоящего</w:t>
            </w:r>
            <w:r w:rsidRPr="005053FC">
              <w:rPr>
                <w:b/>
                <w:bCs/>
              </w:rPr>
              <w:t xml:space="preserve"> пункта</w:t>
            </w:r>
            <w:r>
              <w:rPr>
                <w:b/>
                <w:bCs/>
              </w:rPr>
              <w:t>.</w:t>
            </w:r>
          </w:p>
          <w:p w:rsidR="00E852E3" w:rsidRPr="00F350CF" w:rsidRDefault="00E852E3" w:rsidP="003038D3">
            <w:pPr>
              <w:ind w:firstLine="540"/>
              <w:jc w:val="both"/>
              <w:rPr>
                <w:b/>
                <w:bCs/>
              </w:rPr>
            </w:pPr>
            <w:r w:rsidRPr="00F350CF">
              <w:rPr>
                <w:b/>
                <w:bCs/>
              </w:rPr>
              <w:t xml:space="preserve">Фиксация нарушений правил дорожного движения мобильными средствами фиксации допускается только на служебных транспортных средствах с нанесёнными </w:t>
            </w:r>
            <w:proofErr w:type="spellStart"/>
            <w:r w:rsidRPr="00F350CF">
              <w:rPr>
                <w:b/>
                <w:bCs/>
              </w:rPr>
              <w:t>цветографическими</w:t>
            </w:r>
            <w:proofErr w:type="spellEnd"/>
            <w:r w:rsidRPr="00F350CF">
              <w:rPr>
                <w:b/>
                <w:bCs/>
              </w:rPr>
              <w:t xml:space="preserve"> схемами и включёнными проблесковыми маячками, на которых они установлены, в пределах автомобильных дорог. При фиксации нарушений правил дорожного движения не допускается создание помех другим участникам дорожного движения мобильными средствами фиксации.</w:t>
            </w:r>
          </w:p>
          <w:p w:rsidR="00E852E3" w:rsidRPr="00581F3A" w:rsidRDefault="00E852E3" w:rsidP="003038D3">
            <w:pPr>
              <w:ind w:firstLine="540"/>
              <w:jc w:val="both"/>
            </w:pPr>
            <w:r w:rsidRPr="00581F3A">
              <w:t>При необходимости пресечения административного правонарушения и составления протокола об административном правонарушении или вынесения постановления по делу об административном правонарушении остановка транспортного средства осуществляется при условии соблюдения требований, предусмотренных пунктом 1 настоящей статьи.</w:t>
            </w:r>
          </w:p>
          <w:p w:rsidR="00E852E3" w:rsidRPr="00581F3A" w:rsidRDefault="00E852E3" w:rsidP="003038D3">
            <w:pPr>
              <w:ind w:firstLine="318"/>
              <w:jc w:val="both"/>
            </w:pPr>
            <w:r w:rsidRPr="00581F3A">
              <w:t>Уполномоченным Президентом Приднестровской Молдавской Республики исполнительным органом государственной власти, в ведении которого находится обеспечение безопасности дорожного движения, на своём официальном сайте не позднее чем за 24 (двадцать четыре) часа до начала проведения мероприятий, предусмотренных настоящим пунктом, размещается информация о местах установки стационарных и передвижных работающих в автоматическом режиме специальных технических средств, имеющих функции фото- и киносъемки, видеозаписи, или</w:t>
            </w:r>
            <w:r>
              <w:t xml:space="preserve"> </w:t>
            </w:r>
            <w:r w:rsidRPr="005A60E6">
              <w:rPr>
                <w:b/>
                <w:bCs/>
              </w:rPr>
              <w:t xml:space="preserve">специальных технических </w:t>
            </w:r>
            <w:r w:rsidRPr="00581F3A">
              <w:t>средств фото- и киносъемки, видеозаписи.</w:t>
            </w:r>
          </w:p>
          <w:p w:rsidR="00E852E3" w:rsidRDefault="00E852E3" w:rsidP="003038D3">
            <w:pPr>
              <w:ind w:firstLine="318"/>
              <w:jc w:val="both"/>
              <w:rPr>
                <w:b/>
                <w:bCs/>
              </w:rPr>
            </w:pPr>
          </w:p>
          <w:p w:rsidR="00E852E3" w:rsidRPr="00BF6FBB" w:rsidRDefault="00E852E3" w:rsidP="003038D3">
            <w:pPr>
              <w:ind w:firstLine="3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 Исключена.</w:t>
            </w:r>
          </w:p>
        </w:tc>
      </w:tr>
    </w:tbl>
    <w:p w:rsidR="002335A2" w:rsidRDefault="002335A2"/>
    <w:sectPr w:rsidR="0023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A3"/>
    <w:rsid w:val="002012F1"/>
    <w:rsid w:val="002335A2"/>
    <w:rsid w:val="004515A3"/>
    <w:rsid w:val="00843A3E"/>
    <w:rsid w:val="009A4409"/>
    <w:rsid w:val="00B4491E"/>
    <w:rsid w:val="00E8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1616"/>
  <w15:chartTrackingRefBased/>
  <w15:docId w15:val="{0BF23199-B4C9-415D-8AA0-81AE581F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2E3"/>
  </w:style>
  <w:style w:type="paragraph" w:styleId="a4">
    <w:name w:val="Balloon Text"/>
    <w:basedOn w:val="a"/>
    <w:link w:val="a5"/>
    <w:uiPriority w:val="99"/>
    <w:semiHidden/>
    <w:unhideWhenUsed/>
    <w:rsid w:val="00843A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A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Доника Андрей Евгеньевич</dc:creator>
  <cp:keywords/>
  <dc:description/>
  <cp:lastModifiedBy>Денисюк Вадим Александрович</cp:lastModifiedBy>
  <cp:revision>3</cp:revision>
  <cp:lastPrinted>2025-12-04T14:50:00Z</cp:lastPrinted>
  <dcterms:created xsi:type="dcterms:W3CDTF">2025-11-24T08:33:00Z</dcterms:created>
  <dcterms:modified xsi:type="dcterms:W3CDTF">2025-12-04T14:51:00Z</dcterms:modified>
</cp:coreProperties>
</file>