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30846" w14:textId="77777777" w:rsidR="00AA0F33" w:rsidRPr="003942B3" w:rsidRDefault="00AA0F33" w:rsidP="003942B3">
      <w:pPr>
        <w:pStyle w:val="af7"/>
        <w:jc w:val="both"/>
      </w:pPr>
      <w:bookmarkStart w:id="0" w:name="_GoBack"/>
      <w:bookmarkEnd w:id="0"/>
    </w:p>
    <w:p w14:paraId="39D25564" w14:textId="77777777" w:rsidR="001410DC" w:rsidRPr="003942B3" w:rsidRDefault="00D419D2" w:rsidP="003942B3">
      <w:pPr>
        <w:pStyle w:val="af7"/>
        <w:jc w:val="both"/>
      </w:pPr>
      <w:bookmarkStart w:id="1" w:name="_Hlk219274189"/>
      <w:r w:rsidRPr="003942B3">
        <w:t>Сравнительная таблица</w:t>
      </w:r>
      <w:r w:rsidR="00F246E0" w:rsidRPr="003942B3">
        <w:t xml:space="preserve"> </w:t>
      </w:r>
    </w:p>
    <w:p w14:paraId="7425A38A" w14:textId="74E61576" w:rsidR="00D419D2" w:rsidRPr="003942B3" w:rsidRDefault="00D419D2" w:rsidP="003942B3">
      <w:pPr>
        <w:pStyle w:val="af7"/>
        <w:jc w:val="both"/>
      </w:pPr>
      <w:r w:rsidRPr="003942B3">
        <w:t>к проекту закона Приднестровской Молдавской Республики</w:t>
      </w:r>
    </w:p>
    <w:p w14:paraId="62FFD646" w14:textId="77777777" w:rsidR="00D419D2" w:rsidRPr="003942B3" w:rsidRDefault="00D419D2" w:rsidP="003942B3">
      <w:pPr>
        <w:pStyle w:val="af7"/>
        <w:jc w:val="both"/>
      </w:pPr>
      <w:r w:rsidRPr="003942B3">
        <w:t xml:space="preserve">«О внесении </w:t>
      </w:r>
      <w:r w:rsidR="001B1053" w:rsidRPr="003942B3">
        <w:t>изменений и дополнений</w:t>
      </w:r>
      <w:r w:rsidR="00E728FC" w:rsidRPr="003942B3">
        <w:t xml:space="preserve"> </w:t>
      </w:r>
      <w:r w:rsidRPr="003942B3">
        <w:t>в Закон Приднестровской Молдавской Республики «Об основах налоговой системы в Приднестровской Молдавской Республике»</w:t>
      </w:r>
    </w:p>
    <w:bookmarkEnd w:id="1"/>
    <w:p w14:paraId="0BCC2010" w14:textId="77777777" w:rsidR="00D419D2" w:rsidRPr="003942B3" w:rsidRDefault="00D419D2" w:rsidP="003942B3">
      <w:pPr>
        <w:pStyle w:val="af7"/>
        <w:jc w:val="both"/>
        <w:rPr>
          <w:highlight w:val="yellow"/>
        </w:rPr>
      </w:pPr>
    </w:p>
    <w:tbl>
      <w:tblPr>
        <w:tblStyle w:val="a9"/>
        <w:tblW w:w="10490" w:type="dxa"/>
        <w:tblInd w:w="-572" w:type="dxa"/>
        <w:tblLook w:val="04A0" w:firstRow="1" w:lastRow="0" w:firstColumn="1" w:lastColumn="0" w:noHBand="0" w:noVBand="1"/>
      </w:tblPr>
      <w:tblGrid>
        <w:gridCol w:w="5244"/>
        <w:gridCol w:w="5246"/>
      </w:tblGrid>
      <w:tr w:rsidR="001410DC" w:rsidRPr="003942B3" w14:paraId="3270C090" w14:textId="77777777" w:rsidTr="001410DC">
        <w:tc>
          <w:tcPr>
            <w:tcW w:w="5244" w:type="dxa"/>
          </w:tcPr>
          <w:p w14:paraId="6221925D" w14:textId="77777777" w:rsidR="001410DC" w:rsidRPr="003942B3" w:rsidRDefault="001410DC" w:rsidP="003942B3">
            <w:pPr>
              <w:pStyle w:val="af7"/>
              <w:jc w:val="both"/>
            </w:pPr>
            <w:r w:rsidRPr="003942B3">
              <w:t>Действующая редакция</w:t>
            </w:r>
          </w:p>
        </w:tc>
        <w:tc>
          <w:tcPr>
            <w:tcW w:w="5246" w:type="dxa"/>
          </w:tcPr>
          <w:p w14:paraId="3CF8DE31" w14:textId="77777777" w:rsidR="001410DC" w:rsidRPr="003942B3" w:rsidRDefault="001410DC" w:rsidP="003942B3">
            <w:pPr>
              <w:pStyle w:val="af7"/>
              <w:jc w:val="both"/>
            </w:pPr>
            <w:r w:rsidRPr="003942B3">
              <w:t>Предлагаемая редакция</w:t>
            </w:r>
          </w:p>
        </w:tc>
      </w:tr>
      <w:tr w:rsidR="001410DC" w:rsidRPr="003942B3" w14:paraId="5347D612" w14:textId="77777777" w:rsidTr="001410DC">
        <w:tc>
          <w:tcPr>
            <w:tcW w:w="5244" w:type="dxa"/>
          </w:tcPr>
          <w:p w14:paraId="2A982815" w14:textId="77777777" w:rsidR="001410DC" w:rsidRPr="003942B3" w:rsidRDefault="001410DC" w:rsidP="003942B3">
            <w:pPr>
              <w:pStyle w:val="af7"/>
              <w:jc w:val="both"/>
            </w:pPr>
            <w:r w:rsidRPr="003942B3">
              <w:t>Статья 10. Меры ответственности налогоплательщика и его должностных лиц за нарушение налогового законодательства</w:t>
            </w:r>
          </w:p>
          <w:p w14:paraId="2A468A51" w14:textId="77777777" w:rsidR="001410DC" w:rsidRPr="003942B3" w:rsidRDefault="001410DC" w:rsidP="003942B3">
            <w:pPr>
              <w:pStyle w:val="af7"/>
              <w:jc w:val="both"/>
            </w:pPr>
            <w:r w:rsidRPr="003942B3">
              <w:t xml:space="preserve">1. За нарушение налогового законодательства в установленных случаях к налогоплательщику применяются меры административной ответственности, предусмотренные действующими законодательными актами Приднестровской Молдавской Республики, а также финансовые санкции в виде: </w:t>
            </w:r>
          </w:p>
          <w:p w14:paraId="6F351359" w14:textId="77777777" w:rsidR="001410DC" w:rsidRPr="003942B3" w:rsidRDefault="001410DC" w:rsidP="003942B3">
            <w:pPr>
              <w:pStyle w:val="af7"/>
              <w:jc w:val="both"/>
            </w:pPr>
            <w:r w:rsidRPr="003942B3">
              <w:t>…</w:t>
            </w:r>
          </w:p>
          <w:p w14:paraId="623439F0" w14:textId="77777777" w:rsidR="001410DC" w:rsidRPr="003942B3" w:rsidRDefault="001410DC" w:rsidP="003942B3">
            <w:pPr>
              <w:pStyle w:val="af7"/>
              <w:jc w:val="both"/>
            </w:pPr>
            <w:r w:rsidRPr="003942B3">
              <w:t xml:space="preserve">г) взимания пени в случае уплаты причитающихся сумм налогов (сборов) в более позднее по сравнению с установленными налоговым законодательством сроками. </w:t>
            </w:r>
          </w:p>
          <w:p w14:paraId="089F88BA" w14:textId="77777777" w:rsidR="001410DC" w:rsidRPr="003942B3" w:rsidRDefault="001410DC" w:rsidP="003942B3">
            <w:pPr>
              <w:pStyle w:val="af7"/>
              <w:jc w:val="both"/>
            </w:pPr>
            <w:r w:rsidRPr="003942B3">
              <w:t xml:space="preserve">Пеня начисляется за каждый календарный день просрочки (включая день уплаты), начиная со следующего за установленным налоговым законодательством дня. </w:t>
            </w:r>
          </w:p>
          <w:p w14:paraId="6B4D078F" w14:textId="77777777" w:rsidR="001410DC" w:rsidRPr="003942B3" w:rsidRDefault="001410DC" w:rsidP="003942B3">
            <w:pPr>
              <w:pStyle w:val="af7"/>
              <w:jc w:val="both"/>
            </w:pPr>
            <w:r w:rsidRPr="003942B3">
              <w:t>…</w:t>
            </w:r>
          </w:p>
          <w:p w14:paraId="0527D770" w14:textId="77777777" w:rsidR="001410DC" w:rsidRPr="003942B3" w:rsidRDefault="001410DC" w:rsidP="003942B3">
            <w:pPr>
              <w:pStyle w:val="af7"/>
              <w:jc w:val="both"/>
            </w:pPr>
          </w:p>
          <w:p w14:paraId="6480991C" w14:textId="77777777" w:rsidR="001410DC" w:rsidRPr="003942B3" w:rsidRDefault="001410DC" w:rsidP="003942B3">
            <w:pPr>
              <w:pStyle w:val="af7"/>
              <w:jc w:val="both"/>
            </w:pPr>
          </w:p>
          <w:p w14:paraId="7BE20001" w14:textId="6AF762AE" w:rsidR="001410DC" w:rsidRPr="003942B3" w:rsidRDefault="001410DC" w:rsidP="003942B3">
            <w:pPr>
              <w:pStyle w:val="af7"/>
              <w:jc w:val="both"/>
            </w:pPr>
            <w:r w:rsidRPr="003942B3">
              <w:t xml:space="preserve">3. </w:t>
            </w:r>
            <w:r w:rsidRPr="003942B3">
              <w:rPr>
                <w:rFonts w:eastAsia="Calibri"/>
              </w:rPr>
              <w:t xml:space="preserve">Взыскание недоимки по налогам и другим обязательным платежам, предусмотренным законодательством Приднестровской Молдавской Республики, производится с юридических лиц в бесспорном порядке по истечении 5 (пяти) дней после установленного срока уплаты платежей, а с физических лиц – в судебном порядке, за исключением случаев, установленных настоящим пунктом. Не производится взыскание в бесспорном порядке со счетов налогоплательщика в рублях Приднестровской Молдавской Республики недоимки по налогам, по которым налогоплательщик предоставил в обслуживающий банк платежные поручения на их перечисление при недостаточности (отсутствии) денежных средств  на счете для полной оплаты сумм налогов и до выставления инкассовых поручений предоставил в соответствующие территориальные налоговые инспекции копии вышеуказанных платежных поручений с отметкой банка либо обслуживающий банк по соглашению с </w:t>
            </w:r>
            <w:r w:rsidRPr="003942B3">
              <w:rPr>
                <w:rFonts w:eastAsia="Calibri"/>
              </w:rPr>
              <w:lastRenderedPageBreak/>
              <w:t xml:space="preserve">налогоплательщиком предоставил доступ налоговому органу к информации в электронном виде о предоставленных налогоплательщиком в банк платежных поручениях на перечисление налогов при недостаточности (отсутствии) денежных средств на счете для полной оплаты сумм налогов. Форма и порядок предоставления банком по соглашению с налогоплательщиком налоговым органам доступа к информации в электронном виде о предоставленных налогоплательщиком в обслуживающий банк платежных поручениях на перечисление налогов при недостаточности (отсутствии) денежных средств на счете для полной оплаты сумм налогов утверждаются нормативным правовым актом исполнительного органа государственной власти, в ведении которого находятся вопросы контроля над поступлением налогов, сборов и иных обязательных платежей </w:t>
            </w:r>
            <w:r w:rsidRPr="003942B3">
              <w:rPr>
                <w:rFonts w:eastAsia="Calibri"/>
              </w:rPr>
              <w:br/>
              <w:t xml:space="preserve">в соответствующие бюджеты и внебюджетные фонды, по согласованию </w:t>
            </w:r>
            <w:r w:rsidRPr="003942B3">
              <w:rPr>
                <w:rFonts w:eastAsia="Calibri"/>
              </w:rPr>
              <w:br/>
              <w:t>с центральным банком Приднестровской Молдавской Республики</w:t>
            </w:r>
            <w:r w:rsidRPr="003942B3">
              <w:t>.</w:t>
            </w:r>
          </w:p>
          <w:p w14:paraId="282724B2" w14:textId="77777777" w:rsidR="001410DC" w:rsidRPr="003942B3" w:rsidRDefault="001410DC" w:rsidP="003942B3">
            <w:pPr>
              <w:pStyle w:val="af7"/>
              <w:jc w:val="both"/>
            </w:pPr>
            <w:r w:rsidRPr="003942B3">
              <w:t>…</w:t>
            </w:r>
          </w:p>
          <w:p w14:paraId="00B77DBC" w14:textId="77777777" w:rsidR="001410DC" w:rsidRPr="003942B3" w:rsidRDefault="001410DC" w:rsidP="003942B3">
            <w:pPr>
              <w:pStyle w:val="af7"/>
              <w:jc w:val="both"/>
            </w:pPr>
            <w:r w:rsidRPr="003942B3">
              <w:t>По истечении 20-дневного срока со дня наложения ареста на имущество в случаях невнесения платежей, отсутствия или недостаточности денежных средств на банковских счетах плательщика налоговый орган вправе реализовать подвергнутое аресту имущество, если его решение о наложении ареста на имущество не было обжаловано в установленном законодательством порядке. В случае обжалования решения налогового органа, реализация имущества, арест которого оспаривается в жалобе или исковом заявлении, приостанавливается до завершения рассмотрения дела.</w:t>
            </w:r>
          </w:p>
          <w:p w14:paraId="1A5F4A33" w14:textId="77777777" w:rsidR="001410DC" w:rsidRPr="003942B3" w:rsidRDefault="001410DC" w:rsidP="003942B3">
            <w:pPr>
              <w:pStyle w:val="af7"/>
              <w:jc w:val="both"/>
            </w:pPr>
            <w:r w:rsidRPr="003942B3">
              <w:t>Реализация имущества налогоплательщика осуществляется по договору комиссии, соответственно заключаемому или проводимому в порядке, установленном законодательством.</w:t>
            </w:r>
          </w:p>
          <w:p w14:paraId="54AE4325" w14:textId="77777777" w:rsidR="001410DC" w:rsidRPr="003942B3" w:rsidRDefault="001410DC" w:rsidP="003942B3">
            <w:pPr>
              <w:pStyle w:val="af7"/>
              <w:jc w:val="both"/>
            </w:pPr>
            <w:r w:rsidRPr="003942B3">
              <w:t>Должностные лица налоговых органов и иных контролирующих государственных органов не вправе покупать реализуемое имущество плательщика.</w:t>
            </w:r>
          </w:p>
          <w:p w14:paraId="3C52C5C2" w14:textId="77777777" w:rsidR="001410DC" w:rsidRPr="003942B3" w:rsidRDefault="001410DC" w:rsidP="003942B3">
            <w:pPr>
              <w:pStyle w:val="af7"/>
              <w:jc w:val="both"/>
            </w:pPr>
            <w:r w:rsidRPr="003942B3">
              <w:t>Расходы, связанные с принудительным взысканием платежей, осуществляются за счёт средств государственного бюджета с последующим их восстановлением из суммы дохода, полученного от реализации имущества, подвергнутого аресту.</w:t>
            </w:r>
          </w:p>
          <w:p w14:paraId="4E79876E" w14:textId="77777777" w:rsidR="001410DC" w:rsidRPr="003942B3" w:rsidRDefault="001410DC" w:rsidP="003942B3">
            <w:pPr>
              <w:pStyle w:val="af7"/>
              <w:jc w:val="both"/>
            </w:pPr>
            <w:r w:rsidRPr="003942B3">
              <w:lastRenderedPageBreak/>
              <w:t>Для проведения экспертизы, оценки и реализации имущества при необходимости могут быть привлечены специалисты органов государственной власти и местного самоуправления, а также физические и юридические лица независимо от вида собственности и организационно-правовой формы. Оплата услуг, оказываемых этими лицами, не может превышать 10 процентов от суммы денежных средств, полученных от реализации имущества, подвергнутого аресту.</w:t>
            </w:r>
          </w:p>
          <w:p w14:paraId="274D6CA4" w14:textId="77777777" w:rsidR="001410DC" w:rsidRPr="003942B3" w:rsidRDefault="001410DC" w:rsidP="003942B3">
            <w:pPr>
              <w:pStyle w:val="af7"/>
              <w:jc w:val="both"/>
            </w:pPr>
            <w:r w:rsidRPr="003942B3">
              <w:t>После подписания в комиссионном магазине (торговой организации) договора купли-продажи руководитель (заместитель) налогового органа подписывает акт об изъятии имущества, подвергнутого аресту, в соответствии с которым налоговыми органами осуществляется изъятие данного имущества для передачи его покупателю. С момента подписания акта об изъятии имущества, подвергнутого аресту, право собственности на него переходит от плательщика к покупателю, и расходы по хранению или транспортировке имущества осуществляются за счёт нового собственника.</w:t>
            </w:r>
          </w:p>
          <w:p w14:paraId="604D95B6" w14:textId="77777777" w:rsidR="001410DC" w:rsidRPr="003942B3" w:rsidRDefault="001410DC" w:rsidP="003942B3">
            <w:pPr>
              <w:pStyle w:val="af7"/>
              <w:jc w:val="both"/>
            </w:pPr>
            <w:r w:rsidRPr="003942B3">
              <w:t>Изъятие имущества, подвергнутого аресту, осуществляется с обязательным участием покупателя или его полномочного представителя.</w:t>
            </w:r>
          </w:p>
          <w:p w14:paraId="1B75418F" w14:textId="77777777" w:rsidR="001410DC" w:rsidRPr="003942B3" w:rsidRDefault="001410DC" w:rsidP="003942B3">
            <w:pPr>
              <w:pStyle w:val="af7"/>
              <w:jc w:val="both"/>
            </w:pPr>
            <w:r w:rsidRPr="003942B3">
              <w:t>Если количество изъятого имущества меньше количества, указанного в акте об аресте, плательщик, его представитель или другое лицо, у которого имущество находилось на хранении, обязан письменно сообщить о причине недостачи. Если недостача не является следствием естественной убыли, виновные лица привлекаются к ответственности в соответствии с законодательством.</w:t>
            </w:r>
          </w:p>
          <w:p w14:paraId="7C60C7A3" w14:textId="77777777" w:rsidR="001410DC" w:rsidRPr="003942B3" w:rsidRDefault="001410DC" w:rsidP="003942B3">
            <w:pPr>
              <w:pStyle w:val="af7"/>
              <w:jc w:val="both"/>
            </w:pPr>
            <w:r w:rsidRPr="003942B3">
              <w:t>Из денежных средств, полученных от реализации имущества, подвергнутого аресту, в первую очередь покрываются расходы, связанные с принудительным взысканием платежей, затем погашаются недоимки в соответствующие бюджеты и фонды. Денежные средства перечисляются или вносятся непосредственно на счета соответствующих бюджетов или фондов, минуя расчётный счёт плательщика или дебитора.</w:t>
            </w:r>
          </w:p>
          <w:p w14:paraId="27D7BD5D" w14:textId="77777777" w:rsidR="001410DC" w:rsidRPr="003942B3" w:rsidRDefault="001410DC" w:rsidP="003942B3">
            <w:pPr>
              <w:pStyle w:val="af7"/>
              <w:jc w:val="both"/>
            </w:pPr>
            <w:r w:rsidRPr="003942B3">
              <w:t>Реализованное имущество организации подлежит списанию с баланса предприятия по получении ею от налогового органа письменного уведомления о реализации этого имущества.</w:t>
            </w:r>
          </w:p>
          <w:p w14:paraId="1A886A16" w14:textId="77777777" w:rsidR="001410DC" w:rsidRPr="003942B3" w:rsidRDefault="001410DC" w:rsidP="003942B3">
            <w:pPr>
              <w:pStyle w:val="af7"/>
              <w:jc w:val="both"/>
            </w:pPr>
            <w:r w:rsidRPr="003942B3">
              <w:lastRenderedPageBreak/>
              <w:t>Средства, оставшиеся после исполнения требования об уплате задолженности, в течение трёх дней со дня исполнения требования подлежат возврату налоговым органом плательщику.</w:t>
            </w:r>
          </w:p>
          <w:p w14:paraId="7E5A8489" w14:textId="77777777" w:rsidR="001410DC" w:rsidRPr="003942B3" w:rsidRDefault="001410DC" w:rsidP="003942B3">
            <w:pPr>
              <w:pStyle w:val="af7"/>
              <w:jc w:val="both"/>
            </w:pPr>
            <w:r w:rsidRPr="003942B3">
              <w:t>Невозможность внесения платежей после применения предусмотренных настоящим Законом мер или в случае невозможности их применения влечёт право налогового органа обратиться в судебную инстанцию для возбуждения дела о банкротстве юридического лица.</w:t>
            </w:r>
          </w:p>
          <w:p w14:paraId="719B84F6" w14:textId="77777777" w:rsidR="001410DC" w:rsidRPr="003942B3" w:rsidRDefault="001410DC" w:rsidP="003942B3">
            <w:pPr>
              <w:pStyle w:val="af7"/>
              <w:jc w:val="both"/>
            </w:pPr>
            <w:r w:rsidRPr="003942B3">
              <w:t>…</w:t>
            </w:r>
          </w:p>
          <w:p w14:paraId="7648C1AF" w14:textId="77777777" w:rsidR="001410DC" w:rsidRPr="003942B3" w:rsidRDefault="001410DC" w:rsidP="003942B3">
            <w:pPr>
              <w:pStyle w:val="af7"/>
              <w:jc w:val="both"/>
              <w:rPr>
                <w:rFonts w:eastAsia="Calibri"/>
              </w:rPr>
            </w:pPr>
            <w:r w:rsidRPr="003942B3">
              <w:t xml:space="preserve">6. </w:t>
            </w:r>
            <w:r w:rsidRPr="003942B3">
              <w:rPr>
                <w:rFonts w:eastAsia="Calibri"/>
              </w:rPr>
              <w:t>Срок давности по взысканию налогов и других обязательных платежей в бюджет, финансовых и штрафных санкций, предусмотренных действующим законодательством Приднестровской Молдавской Республики, составляет:</w:t>
            </w:r>
          </w:p>
          <w:p w14:paraId="603B3B34" w14:textId="77777777" w:rsidR="001410DC" w:rsidRPr="003942B3" w:rsidRDefault="001410DC" w:rsidP="003942B3">
            <w:pPr>
              <w:pStyle w:val="af7"/>
              <w:jc w:val="both"/>
              <w:rPr>
                <w:rFonts w:eastAsia="Calibri"/>
              </w:rPr>
            </w:pPr>
            <w:r w:rsidRPr="003942B3">
              <w:rPr>
                <w:rFonts w:eastAsia="Calibri"/>
              </w:rPr>
              <w:t>а) по претензиям, предъявленным к физическим лицам, за исключением индивидуальных предпринимателей, – 3 (три) года со дня совершения нарушения, образования недоимки;</w:t>
            </w:r>
          </w:p>
          <w:p w14:paraId="5B5B11A1" w14:textId="77777777" w:rsidR="001410DC" w:rsidRPr="003942B3" w:rsidRDefault="001410DC" w:rsidP="003942B3">
            <w:pPr>
              <w:pStyle w:val="af7"/>
              <w:jc w:val="both"/>
              <w:rPr>
                <w:rFonts w:eastAsia="Calibri"/>
              </w:rPr>
            </w:pPr>
            <w:r w:rsidRPr="003942B3">
              <w:rPr>
                <w:rFonts w:eastAsia="Calibri"/>
              </w:rPr>
              <w:t>б) по претензиям, предъявленным к юридическим лицам, индивидуальным предпринимателям и иным категориям налогоплательщиков, не указанным в подпункте а) настоящей части, – 6 (шесть) лет со дня совершения нарушения, образования недоимки.</w:t>
            </w:r>
          </w:p>
          <w:p w14:paraId="4FC0423A" w14:textId="77777777" w:rsidR="001410DC" w:rsidRPr="003942B3" w:rsidRDefault="001410DC" w:rsidP="003942B3">
            <w:pPr>
              <w:pStyle w:val="af7"/>
              <w:jc w:val="both"/>
            </w:pPr>
            <w:r w:rsidRPr="003942B3">
              <w:rPr>
                <w:rFonts w:eastAsia="Calibri"/>
              </w:rPr>
              <w:t>Предусмотренные настоящим Законом меры ответственности налогоплательщика и его должностных лиц за нарушение налогового законодательства Приднестровской Молдавской Республики, в том числе по результатам осуществления налоговыми органами контрольной (надзорной) деятельности, а также меры по взысканию недоимок по налогам и другим обязательным платежам в бюджет, финансовым и штрафным санкциям, не подлежат применению по истечении установленного настоящей статьей срока давности</w:t>
            </w:r>
            <w:r w:rsidRPr="003942B3">
              <w:t>.</w:t>
            </w:r>
          </w:p>
          <w:p w14:paraId="0C587E9C" w14:textId="77777777" w:rsidR="00FD54A3" w:rsidRPr="003942B3" w:rsidRDefault="00FD54A3" w:rsidP="003942B3">
            <w:pPr>
              <w:pStyle w:val="af7"/>
              <w:jc w:val="both"/>
              <w:rPr>
                <w:rFonts w:eastAsia="Calibri"/>
              </w:rPr>
            </w:pPr>
          </w:p>
          <w:p w14:paraId="5C4D4277" w14:textId="77777777" w:rsidR="00FD54A3" w:rsidRPr="003942B3" w:rsidRDefault="00FD54A3" w:rsidP="003942B3">
            <w:pPr>
              <w:pStyle w:val="af7"/>
              <w:jc w:val="both"/>
              <w:rPr>
                <w:rFonts w:eastAsia="Calibri"/>
              </w:rPr>
            </w:pPr>
          </w:p>
          <w:p w14:paraId="1DB984C3" w14:textId="39FDE52A" w:rsidR="001410DC" w:rsidRPr="003942B3" w:rsidRDefault="001410DC" w:rsidP="003942B3">
            <w:pPr>
              <w:pStyle w:val="af7"/>
              <w:jc w:val="both"/>
            </w:pPr>
            <w:r w:rsidRPr="003942B3">
              <w:rPr>
                <w:rFonts w:eastAsia="Calibri"/>
              </w:rPr>
              <w:t>Течение установленного настоящей статьей срока давности приостанавливается на период приостановления деятельности налогоплательщика в соответствии с действующим законодательством Приднестровской Молдавской Республики.</w:t>
            </w:r>
          </w:p>
          <w:p w14:paraId="7126F093" w14:textId="77777777" w:rsidR="001410DC" w:rsidRPr="003942B3" w:rsidRDefault="001410DC" w:rsidP="003942B3">
            <w:pPr>
              <w:pStyle w:val="af7"/>
              <w:jc w:val="both"/>
            </w:pPr>
            <w:r w:rsidRPr="003942B3">
              <w:t xml:space="preserve">Безнадежные или невозможные к взысканию недоимки по налогам и другим обязательным платежам в бюджет и внебюджетные фонды, а </w:t>
            </w:r>
            <w:r w:rsidRPr="003942B3">
              <w:lastRenderedPageBreak/>
              <w:t>также суммам штрафов и иных санкций подлежат списанию: по платежам в республиканский бюджет и в местные бюджеты – на основании заключений территориальных налоговых инспекций; по платежам во внебюджетные фонды – на основании заключений территориальных налоговых инспекций, согласованных с органом, осуществляющим контроль за расходованием средств соответствующего внебюджетного фонда. Взыскание платежей признаётся безнадёжным или невозможным в случаях:</w:t>
            </w:r>
          </w:p>
          <w:p w14:paraId="7DE81908" w14:textId="77777777" w:rsidR="001410DC" w:rsidRPr="003942B3" w:rsidRDefault="001410DC" w:rsidP="003942B3">
            <w:pPr>
              <w:pStyle w:val="af7"/>
              <w:jc w:val="both"/>
            </w:pPr>
            <w:r w:rsidRPr="003942B3">
              <w:t>а) отсутствия имущества у юридического или физического лица, осуществляющего предпринимательскую деятельность, объявленного банкротом;</w:t>
            </w:r>
          </w:p>
          <w:p w14:paraId="4C153BD2" w14:textId="77777777" w:rsidR="001410DC" w:rsidRPr="003942B3" w:rsidRDefault="001410DC" w:rsidP="003942B3">
            <w:pPr>
              <w:pStyle w:val="af7"/>
              <w:jc w:val="both"/>
            </w:pPr>
            <w:r w:rsidRPr="003942B3">
              <w:t>а-1) если сумма задолженности налогоплательщика – юридического лица перед бюджетами различных уровней и государственными внебюджетными фондами не превышает 300 РУ МЗП при условии отсутствия имущества, дебиторской задолженности и иных активов у юридического лица и принятия решения суда о ликвидации данного юридического лица;</w:t>
            </w:r>
          </w:p>
          <w:p w14:paraId="65A4C120" w14:textId="77777777" w:rsidR="001410DC" w:rsidRPr="003942B3" w:rsidRDefault="001410DC" w:rsidP="003942B3">
            <w:pPr>
              <w:pStyle w:val="af7"/>
              <w:jc w:val="both"/>
            </w:pPr>
            <w:r w:rsidRPr="003942B3">
              <w:t>б) смерти физического лица и отсутствия других лиц, обязанных по закону исполнить его обязательства;</w:t>
            </w:r>
          </w:p>
          <w:p w14:paraId="7C91E0A8" w14:textId="77777777" w:rsidR="001410DC" w:rsidRPr="003942B3" w:rsidRDefault="001410DC" w:rsidP="003942B3">
            <w:pPr>
              <w:pStyle w:val="af7"/>
              <w:jc w:val="both"/>
            </w:pPr>
            <w:r w:rsidRPr="003942B3">
              <w:t>в) истечения срока давности.</w:t>
            </w:r>
          </w:p>
          <w:p w14:paraId="03648CCA" w14:textId="77777777" w:rsidR="001410DC" w:rsidRPr="003942B3" w:rsidRDefault="001410DC" w:rsidP="003942B3">
            <w:pPr>
              <w:pStyle w:val="af7"/>
              <w:jc w:val="both"/>
            </w:pPr>
            <w:r w:rsidRPr="003942B3">
              <w:t>…</w:t>
            </w:r>
          </w:p>
          <w:p w14:paraId="4379C952" w14:textId="77777777" w:rsidR="001410DC" w:rsidRPr="003942B3" w:rsidRDefault="001410DC" w:rsidP="003942B3">
            <w:pPr>
              <w:pStyle w:val="af7"/>
              <w:jc w:val="both"/>
            </w:pPr>
          </w:p>
        </w:tc>
        <w:tc>
          <w:tcPr>
            <w:tcW w:w="5246" w:type="dxa"/>
          </w:tcPr>
          <w:p w14:paraId="322D2183" w14:textId="77777777" w:rsidR="001410DC" w:rsidRPr="003942B3" w:rsidRDefault="001410DC" w:rsidP="003942B3">
            <w:pPr>
              <w:pStyle w:val="af7"/>
              <w:jc w:val="both"/>
            </w:pPr>
            <w:r w:rsidRPr="003942B3">
              <w:lastRenderedPageBreak/>
              <w:t>Статья 10. Меры ответственности налогоплательщика и его должностных лиц за нарушение налогового законодательства</w:t>
            </w:r>
          </w:p>
          <w:p w14:paraId="086B6673" w14:textId="77777777" w:rsidR="001410DC" w:rsidRPr="003942B3" w:rsidRDefault="001410DC" w:rsidP="003942B3">
            <w:pPr>
              <w:pStyle w:val="af7"/>
              <w:jc w:val="both"/>
            </w:pPr>
            <w:r w:rsidRPr="003942B3">
              <w:t xml:space="preserve">1. За нарушение налогового законодательства в установленных случаях к налогоплательщику применяются меры административной ответственности, предусмотренные действующими законодательными актами Приднестровской Молдавской Республики, а также финансовые санкции в виде: </w:t>
            </w:r>
          </w:p>
          <w:p w14:paraId="1B4604AC" w14:textId="77777777" w:rsidR="001410DC" w:rsidRPr="003942B3" w:rsidRDefault="001410DC" w:rsidP="003942B3">
            <w:pPr>
              <w:pStyle w:val="af7"/>
              <w:jc w:val="both"/>
            </w:pPr>
            <w:r w:rsidRPr="003942B3">
              <w:t>…</w:t>
            </w:r>
          </w:p>
          <w:p w14:paraId="682E0B7B" w14:textId="77777777" w:rsidR="001410DC" w:rsidRPr="003942B3" w:rsidRDefault="001410DC" w:rsidP="003942B3">
            <w:pPr>
              <w:pStyle w:val="af7"/>
              <w:jc w:val="both"/>
            </w:pPr>
            <w:r w:rsidRPr="003942B3">
              <w:t xml:space="preserve">г) взимания пени в случае уплаты причитающихся сумм налогов (сборов) в более позднее по сравнению с установленными налоговым законодательством сроками. </w:t>
            </w:r>
          </w:p>
          <w:p w14:paraId="497B5516" w14:textId="77777777" w:rsidR="001410DC" w:rsidRPr="003942B3" w:rsidRDefault="001410DC" w:rsidP="003942B3">
            <w:pPr>
              <w:pStyle w:val="af7"/>
              <w:jc w:val="both"/>
            </w:pPr>
            <w:r w:rsidRPr="003942B3">
              <w:t>Пеня начисляется за каждый календарный день просрочки (включая день уплаты), начиная со следующего за установленным налоговым законодательством дня, по день (включительно) исполнения (прекращения) обязанности по уплате налогов (сборов).</w:t>
            </w:r>
          </w:p>
          <w:p w14:paraId="1B7BF9F2" w14:textId="77777777" w:rsidR="001410DC" w:rsidRPr="003942B3" w:rsidRDefault="001410DC" w:rsidP="003942B3">
            <w:pPr>
              <w:pStyle w:val="af7"/>
              <w:jc w:val="both"/>
            </w:pPr>
            <w:r w:rsidRPr="003942B3">
              <w:t>…</w:t>
            </w:r>
          </w:p>
          <w:p w14:paraId="7E30814B" w14:textId="2F9195BD" w:rsidR="001410DC" w:rsidRPr="003942B3" w:rsidRDefault="001410DC" w:rsidP="003942B3">
            <w:pPr>
              <w:pStyle w:val="af7"/>
              <w:jc w:val="both"/>
            </w:pPr>
            <w:r w:rsidRPr="003942B3">
              <w:t xml:space="preserve">3. </w:t>
            </w:r>
            <w:r w:rsidRPr="003942B3">
              <w:rPr>
                <w:rFonts w:eastAsia="Calibri"/>
              </w:rPr>
              <w:t xml:space="preserve">Взыскание недоимки по налогам и другим обязательным платежам, предусмотренным законодательством Приднестровской Молдавской Республики, производится с юридических лиц в бесспорном порядке по истечении 5 (пяти) дней после установленного срока уплаты платежей, а с физических лиц – в судебном порядке, за исключением случаев, установленных настоящим пунктом. Не производится взыскание в бесспорном порядке со счетов налогоплательщика в рублях Приднестровской Молдавской Республики недоимки по налогам, по которым налогоплательщик предоставил в обслуживающий банк платежные поручения на их перечисление при недостаточности (отсутствии) денежных средств  на счете для полной оплаты сумм налогов и до выставления инкассовых поручений предоставил в соответствующие территориальные налоговые инспекции копии вышеуказанных платежных поручений с отметкой банка либо обслуживающий банк по соглашению с </w:t>
            </w:r>
            <w:r w:rsidRPr="003942B3">
              <w:rPr>
                <w:rFonts w:eastAsia="Calibri"/>
              </w:rPr>
              <w:lastRenderedPageBreak/>
              <w:t xml:space="preserve">налогоплательщиком предоставил доступ налоговому органу к информации в электронном виде о предоставленных налогоплательщиком в банк платежных поручениях на перечисление налогов при недостаточности (отсутствии) денежных средств на счете для полной оплаты сумм налогов. Форма и порядок предоставления банком по соглашению с налогоплательщиком налоговым органам доступа к информации в электронном виде о предоставленных налогоплательщиком в обслуживающий банк платежных поручениях на перечисление налогов при недостаточности (отсутствии) денежных средств на счете для полной оплаты сумм налогов утверждаются нормативным правовым актом исполнительного органа государственной власти, в ведении которого находятся вопросы контроля над поступлением налогов, сборов и иных обязательных платежей </w:t>
            </w:r>
            <w:r w:rsidRPr="003942B3">
              <w:rPr>
                <w:rFonts w:eastAsia="Calibri"/>
              </w:rPr>
              <w:br/>
              <w:t xml:space="preserve">в соответствующие бюджеты и внебюджетные фонды, по согласованию </w:t>
            </w:r>
            <w:r w:rsidRPr="003942B3">
              <w:rPr>
                <w:rFonts w:eastAsia="Calibri"/>
              </w:rPr>
              <w:br/>
              <w:t>с центральным банком Приднестровской Молдавской Республики</w:t>
            </w:r>
            <w:r w:rsidRPr="003942B3">
              <w:t>.</w:t>
            </w:r>
          </w:p>
          <w:p w14:paraId="25DD05EC" w14:textId="77777777" w:rsidR="001410DC" w:rsidRPr="003942B3" w:rsidRDefault="001410DC" w:rsidP="003942B3">
            <w:pPr>
              <w:pStyle w:val="af7"/>
              <w:jc w:val="both"/>
            </w:pPr>
            <w:r w:rsidRPr="003942B3">
              <w:t>…</w:t>
            </w:r>
          </w:p>
          <w:p w14:paraId="2B38E2F6" w14:textId="77777777" w:rsidR="001410DC" w:rsidRPr="003942B3" w:rsidRDefault="001410DC" w:rsidP="003942B3">
            <w:pPr>
              <w:pStyle w:val="af7"/>
              <w:jc w:val="both"/>
            </w:pPr>
            <w:r w:rsidRPr="003942B3">
              <w:t>По истечении 20-дневного срока со дня наложения ареста на имущество в случаях невнесения платежей, отсутствия или недостаточности денежных средств на банковских счетах плательщика налоговый орган принимает меры по взысканию в судебном порядке задолженности, в целях взыскания которой наложен арест на имущество.</w:t>
            </w:r>
          </w:p>
          <w:p w14:paraId="4067C1FF" w14:textId="77777777" w:rsidR="001410DC" w:rsidRPr="003942B3" w:rsidRDefault="001410DC" w:rsidP="003942B3">
            <w:pPr>
              <w:pStyle w:val="af7"/>
              <w:jc w:val="both"/>
            </w:pPr>
          </w:p>
          <w:p w14:paraId="678A2A2D" w14:textId="77777777" w:rsidR="001410DC" w:rsidRPr="003942B3" w:rsidRDefault="001410DC" w:rsidP="003942B3">
            <w:pPr>
              <w:pStyle w:val="af7"/>
              <w:jc w:val="both"/>
            </w:pPr>
          </w:p>
          <w:p w14:paraId="3A80F8AF" w14:textId="77777777" w:rsidR="001410DC" w:rsidRPr="003942B3" w:rsidRDefault="001410DC" w:rsidP="003942B3">
            <w:pPr>
              <w:pStyle w:val="af7"/>
              <w:jc w:val="both"/>
            </w:pPr>
          </w:p>
          <w:p w14:paraId="00D1207A" w14:textId="77777777" w:rsidR="001410DC" w:rsidRPr="003942B3" w:rsidRDefault="001410DC" w:rsidP="003942B3">
            <w:pPr>
              <w:pStyle w:val="af7"/>
              <w:jc w:val="both"/>
            </w:pPr>
          </w:p>
          <w:p w14:paraId="71D7A60F" w14:textId="77777777" w:rsidR="001410DC" w:rsidRPr="003942B3" w:rsidRDefault="001410DC" w:rsidP="003942B3">
            <w:pPr>
              <w:pStyle w:val="af7"/>
              <w:jc w:val="both"/>
            </w:pPr>
          </w:p>
          <w:p w14:paraId="790A8110" w14:textId="77777777" w:rsidR="001410DC" w:rsidRPr="003942B3" w:rsidRDefault="001410DC" w:rsidP="003942B3">
            <w:pPr>
              <w:pStyle w:val="af7"/>
              <w:jc w:val="both"/>
            </w:pPr>
          </w:p>
          <w:p w14:paraId="230632AF" w14:textId="77777777" w:rsidR="001410DC" w:rsidRPr="003942B3" w:rsidRDefault="001410DC" w:rsidP="003942B3">
            <w:pPr>
              <w:pStyle w:val="af7"/>
              <w:jc w:val="both"/>
            </w:pPr>
            <w:r w:rsidRPr="003942B3">
              <w:t>Исключить.</w:t>
            </w:r>
          </w:p>
          <w:p w14:paraId="3FD31E65" w14:textId="77777777" w:rsidR="001410DC" w:rsidRPr="003942B3" w:rsidRDefault="001410DC" w:rsidP="003942B3">
            <w:pPr>
              <w:pStyle w:val="af7"/>
              <w:jc w:val="both"/>
            </w:pPr>
          </w:p>
          <w:p w14:paraId="2141D2B9" w14:textId="77777777" w:rsidR="001410DC" w:rsidRPr="003942B3" w:rsidRDefault="001410DC" w:rsidP="003942B3">
            <w:pPr>
              <w:pStyle w:val="af7"/>
              <w:jc w:val="both"/>
            </w:pPr>
          </w:p>
          <w:p w14:paraId="53A2CD9F" w14:textId="77777777" w:rsidR="001410DC" w:rsidRPr="003942B3" w:rsidRDefault="001410DC" w:rsidP="003942B3">
            <w:pPr>
              <w:pStyle w:val="af7"/>
              <w:jc w:val="both"/>
            </w:pPr>
          </w:p>
          <w:p w14:paraId="27B7349D" w14:textId="77777777" w:rsidR="001410DC" w:rsidRPr="003942B3" w:rsidRDefault="001410DC" w:rsidP="003942B3">
            <w:pPr>
              <w:pStyle w:val="af7"/>
              <w:jc w:val="both"/>
            </w:pPr>
            <w:r w:rsidRPr="003942B3">
              <w:t>Исключить.</w:t>
            </w:r>
          </w:p>
          <w:p w14:paraId="3A6A3B6F" w14:textId="77777777" w:rsidR="001410DC" w:rsidRPr="003942B3" w:rsidRDefault="001410DC" w:rsidP="003942B3">
            <w:pPr>
              <w:pStyle w:val="af7"/>
              <w:jc w:val="both"/>
            </w:pPr>
          </w:p>
          <w:p w14:paraId="1876E758" w14:textId="77777777" w:rsidR="001410DC" w:rsidRPr="003942B3" w:rsidRDefault="001410DC" w:rsidP="003942B3">
            <w:pPr>
              <w:pStyle w:val="af7"/>
              <w:jc w:val="both"/>
            </w:pPr>
          </w:p>
          <w:p w14:paraId="25201A6E" w14:textId="77777777" w:rsidR="001410DC" w:rsidRPr="003942B3" w:rsidRDefault="001410DC" w:rsidP="003942B3">
            <w:pPr>
              <w:pStyle w:val="af7"/>
              <w:jc w:val="both"/>
            </w:pPr>
          </w:p>
          <w:p w14:paraId="5BA2A914" w14:textId="77777777" w:rsidR="001410DC" w:rsidRPr="003942B3" w:rsidRDefault="001410DC" w:rsidP="003942B3">
            <w:pPr>
              <w:pStyle w:val="af7"/>
              <w:jc w:val="both"/>
            </w:pPr>
            <w:r w:rsidRPr="003942B3">
              <w:t>Исключить.</w:t>
            </w:r>
          </w:p>
          <w:p w14:paraId="0A3D4A2C" w14:textId="77777777" w:rsidR="001410DC" w:rsidRPr="003942B3" w:rsidRDefault="001410DC" w:rsidP="003942B3">
            <w:pPr>
              <w:pStyle w:val="af7"/>
              <w:jc w:val="both"/>
            </w:pPr>
          </w:p>
          <w:p w14:paraId="6C532EA8" w14:textId="77777777" w:rsidR="001410DC" w:rsidRPr="003942B3" w:rsidRDefault="001410DC" w:rsidP="003942B3">
            <w:pPr>
              <w:pStyle w:val="af7"/>
              <w:jc w:val="both"/>
            </w:pPr>
          </w:p>
          <w:p w14:paraId="4E31D778" w14:textId="77777777" w:rsidR="001410DC" w:rsidRPr="003942B3" w:rsidRDefault="001410DC" w:rsidP="003942B3">
            <w:pPr>
              <w:pStyle w:val="af7"/>
              <w:jc w:val="both"/>
            </w:pPr>
          </w:p>
          <w:p w14:paraId="6923FAEC" w14:textId="77777777" w:rsidR="001410DC" w:rsidRPr="003942B3" w:rsidRDefault="001410DC" w:rsidP="003942B3">
            <w:pPr>
              <w:pStyle w:val="af7"/>
              <w:jc w:val="both"/>
            </w:pPr>
          </w:p>
          <w:p w14:paraId="47E12FB8" w14:textId="77777777" w:rsidR="001410DC" w:rsidRPr="003942B3" w:rsidRDefault="001410DC" w:rsidP="003942B3">
            <w:pPr>
              <w:pStyle w:val="af7"/>
              <w:jc w:val="both"/>
            </w:pPr>
          </w:p>
          <w:p w14:paraId="24F08228" w14:textId="77777777" w:rsidR="001410DC" w:rsidRPr="003942B3" w:rsidRDefault="001410DC" w:rsidP="003942B3">
            <w:pPr>
              <w:pStyle w:val="af7"/>
              <w:jc w:val="both"/>
            </w:pPr>
            <w:r w:rsidRPr="003942B3">
              <w:lastRenderedPageBreak/>
              <w:t>Исключить.</w:t>
            </w:r>
          </w:p>
          <w:p w14:paraId="39BE09FB" w14:textId="77777777" w:rsidR="001410DC" w:rsidRPr="003942B3" w:rsidRDefault="001410DC" w:rsidP="003942B3">
            <w:pPr>
              <w:pStyle w:val="af7"/>
              <w:jc w:val="both"/>
            </w:pPr>
          </w:p>
          <w:p w14:paraId="4A91A6AB" w14:textId="77777777" w:rsidR="001410DC" w:rsidRPr="003942B3" w:rsidRDefault="001410DC" w:rsidP="003942B3">
            <w:pPr>
              <w:pStyle w:val="af7"/>
              <w:jc w:val="both"/>
            </w:pPr>
          </w:p>
          <w:p w14:paraId="50B3C8B5" w14:textId="77777777" w:rsidR="001410DC" w:rsidRPr="003942B3" w:rsidRDefault="001410DC" w:rsidP="003942B3">
            <w:pPr>
              <w:pStyle w:val="af7"/>
              <w:jc w:val="both"/>
            </w:pPr>
          </w:p>
          <w:p w14:paraId="1C27B8C0" w14:textId="77777777" w:rsidR="001410DC" w:rsidRPr="003942B3" w:rsidRDefault="001410DC" w:rsidP="003942B3">
            <w:pPr>
              <w:pStyle w:val="af7"/>
              <w:jc w:val="both"/>
            </w:pPr>
          </w:p>
          <w:p w14:paraId="3AE74DEE" w14:textId="77777777" w:rsidR="001410DC" w:rsidRPr="003942B3" w:rsidRDefault="001410DC" w:rsidP="003942B3">
            <w:pPr>
              <w:pStyle w:val="af7"/>
              <w:jc w:val="both"/>
            </w:pPr>
          </w:p>
          <w:p w14:paraId="56A5756E" w14:textId="77777777" w:rsidR="001410DC" w:rsidRPr="003942B3" w:rsidRDefault="001410DC" w:rsidP="003942B3">
            <w:pPr>
              <w:pStyle w:val="af7"/>
              <w:jc w:val="both"/>
            </w:pPr>
          </w:p>
          <w:p w14:paraId="2496F23A" w14:textId="77777777" w:rsidR="001410DC" w:rsidRPr="003942B3" w:rsidRDefault="001410DC" w:rsidP="003942B3">
            <w:pPr>
              <w:pStyle w:val="af7"/>
              <w:jc w:val="both"/>
            </w:pPr>
          </w:p>
          <w:p w14:paraId="4DD758D0" w14:textId="77777777" w:rsidR="001410DC" w:rsidRPr="003942B3" w:rsidRDefault="001410DC" w:rsidP="003942B3">
            <w:pPr>
              <w:pStyle w:val="af7"/>
              <w:jc w:val="both"/>
            </w:pPr>
          </w:p>
          <w:p w14:paraId="5976F0D0" w14:textId="77777777" w:rsidR="001410DC" w:rsidRPr="003942B3" w:rsidRDefault="001410DC" w:rsidP="003942B3">
            <w:pPr>
              <w:pStyle w:val="af7"/>
              <w:jc w:val="both"/>
            </w:pPr>
          </w:p>
          <w:p w14:paraId="1149048D" w14:textId="77777777" w:rsidR="001410DC" w:rsidRPr="003942B3" w:rsidRDefault="001410DC" w:rsidP="003942B3">
            <w:pPr>
              <w:pStyle w:val="af7"/>
              <w:jc w:val="both"/>
            </w:pPr>
          </w:p>
          <w:p w14:paraId="39404ACC" w14:textId="77777777" w:rsidR="001410DC" w:rsidRPr="003942B3" w:rsidRDefault="001410DC" w:rsidP="003942B3">
            <w:pPr>
              <w:pStyle w:val="af7"/>
              <w:jc w:val="both"/>
            </w:pPr>
            <w:r w:rsidRPr="003942B3">
              <w:t>Исключить.</w:t>
            </w:r>
          </w:p>
          <w:p w14:paraId="72824913" w14:textId="77777777" w:rsidR="001410DC" w:rsidRPr="003942B3" w:rsidRDefault="001410DC" w:rsidP="003942B3">
            <w:pPr>
              <w:pStyle w:val="af7"/>
              <w:jc w:val="both"/>
            </w:pPr>
          </w:p>
          <w:p w14:paraId="0B3A5D5C" w14:textId="77777777" w:rsidR="001410DC" w:rsidRPr="003942B3" w:rsidRDefault="001410DC" w:rsidP="003942B3">
            <w:pPr>
              <w:pStyle w:val="af7"/>
              <w:jc w:val="both"/>
            </w:pPr>
          </w:p>
          <w:p w14:paraId="591C44D9" w14:textId="77777777" w:rsidR="001410DC" w:rsidRPr="003942B3" w:rsidRDefault="001410DC" w:rsidP="003942B3">
            <w:pPr>
              <w:pStyle w:val="af7"/>
              <w:jc w:val="both"/>
            </w:pPr>
          </w:p>
          <w:p w14:paraId="2C8A1C0A" w14:textId="77777777" w:rsidR="001410DC" w:rsidRPr="003942B3" w:rsidRDefault="001410DC" w:rsidP="003942B3">
            <w:pPr>
              <w:pStyle w:val="af7"/>
              <w:jc w:val="both"/>
            </w:pPr>
          </w:p>
          <w:p w14:paraId="496271FD" w14:textId="77777777" w:rsidR="001410DC" w:rsidRPr="003942B3" w:rsidRDefault="001410DC" w:rsidP="003942B3">
            <w:pPr>
              <w:pStyle w:val="af7"/>
              <w:jc w:val="both"/>
            </w:pPr>
          </w:p>
          <w:p w14:paraId="60BBE640" w14:textId="77777777" w:rsidR="001410DC" w:rsidRPr="003942B3" w:rsidRDefault="001410DC" w:rsidP="003942B3">
            <w:pPr>
              <w:pStyle w:val="af7"/>
              <w:jc w:val="both"/>
            </w:pPr>
          </w:p>
          <w:p w14:paraId="237D224F" w14:textId="77777777" w:rsidR="001410DC" w:rsidRPr="003942B3" w:rsidRDefault="001410DC" w:rsidP="003942B3">
            <w:pPr>
              <w:pStyle w:val="af7"/>
              <w:jc w:val="both"/>
            </w:pPr>
          </w:p>
          <w:p w14:paraId="1299EA3F" w14:textId="77777777" w:rsidR="001410DC" w:rsidRPr="003942B3" w:rsidRDefault="001410DC" w:rsidP="003942B3">
            <w:pPr>
              <w:pStyle w:val="af7"/>
              <w:jc w:val="both"/>
            </w:pPr>
          </w:p>
          <w:p w14:paraId="35BC398C" w14:textId="77777777" w:rsidR="001410DC" w:rsidRPr="003942B3" w:rsidRDefault="001410DC" w:rsidP="003942B3">
            <w:pPr>
              <w:pStyle w:val="af7"/>
              <w:jc w:val="both"/>
            </w:pPr>
          </w:p>
          <w:p w14:paraId="10F86E5A" w14:textId="77777777" w:rsidR="001410DC" w:rsidRPr="003942B3" w:rsidRDefault="001410DC" w:rsidP="003942B3">
            <w:pPr>
              <w:pStyle w:val="af7"/>
              <w:jc w:val="both"/>
            </w:pPr>
          </w:p>
          <w:p w14:paraId="25AE38E8" w14:textId="77777777" w:rsidR="001410DC" w:rsidRPr="003942B3" w:rsidRDefault="001410DC" w:rsidP="003942B3">
            <w:pPr>
              <w:pStyle w:val="af7"/>
              <w:jc w:val="both"/>
            </w:pPr>
          </w:p>
          <w:p w14:paraId="696F7EDE" w14:textId="77777777" w:rsidR="001410DC" w:rsidRPr="003942B3" w:rsidRDefault="001410DC" w:rsidP="003942B3">
            <w:pPr>
              <w:pStyle w:val="af7"/>
              <w:jc w:val="both"/>
            </w:pPr>
          </w:p>
          <w:p w14:paraId="7562F259" w14:textId="77777777" w:rsidR="001410DC" w:rsidRPr="003942B3" w:rsidRDefault="001410DC" w:rsidP="003942B3">
            <w:pPr>
              <w:pStyle w:val="af7"/>
              <w:jc w:val="both"/>
            </w:pPr>
            <w:r w:rsidRPr="003942B3">
              <w:t>Исключить.</w:t>
            </w:r>
          </w:p>
          <w:p w14:paraId="6FF82927" w14:textId="77777777" w:rsidR="001410DC" w:rsidRPr="003942B3" w:rsidRDefault="001410DC" w:rsidP="003942B3">
            <w:pPr>
              <w:pStyle w:val="af7"/>
              <w:jc w:val="both"/>
            </w:pPr>
          </w:p>
          <w:p w14:paraId="1E4FC1DE" w14:textId="77777777" w:rsidR="001410DC" w:rsidRPr="003942B3" w:rsidRDefault="001410DC" w:rsidP="003942B3">
            <w:pPr>
              <w:pStyle w:val="af7"/>
              <w:jc w:val="both"/>
            </w:pPr>
          </w:p>
          <w:p w14:paraId="74CD2F7F" w14:textId="77777777" w:rsidR="001410DC" w:rsidRPr="003942B3" w:rsidRDefault="001410DC" w:rsidP="003942B3">
            <w:pPr>
              <w:pStyle w:val="af7"/>
              <w:jc w:val="both"/>
            </w:pPr>
          </w:p>
          <w:p w14:paraId="7EA410C5" w14:textId="77777777" w:rsidR="001410DC" w:rsidRPr="003942B3" w:rsidRDefault="001410DC" w:rsidP="003942B3">
            <w:pPr>
              <w:pStyle w:val="af7"/>
              <w:jc w:val="both"/>
            </w:pPr>
            <w:r w:rsidRPr="003942B3">
              <w:t>Исключить.</w:t>
            </w:r>
          </w:p>
          <w:p w14:paraId="77245CA9" w14:textId="77777777" w:rsidR="001410DC" w:rsidRPr="003942B3" w:rsidRDefault="001410DC" w:rsidP="003942B3">
            <w:pPr>
              <w:pStyle w:val="af7"/>
              <w:jc w:val="both"/>
            </w:pPr>
          </w:p>
          <w:p w14:paraId="4903AC6A" w14:textId="77777777" w:rsidR="001410DC" w:rsidRPr="003942B3" w:rsidRDefault="001410DC" w:rsidP="003942B3">
            <w:pPr>
              <w:pStyle w:val="af7"/>
              <w:jc w:val="both"/>
            </w:pPr>
          </w:p>
          <w:p w14:paraId="2CFA4370" w14:textId="77777777" w:rsidR="001410DC" w:rsidRPr="003942B3" w:rsidRDefault="001410DC" w:rsidP="003942B3">
            <w:pPr>
              <w:pStyle w:val="af7"/>
              <w:jc w:val="both"/>
            </w:pPr>
          </w:p>
          <w:p w14:paraId="17F9ECDE" w14:textId="77777777" w:rsidR="001410DC" w:rsidRPr="003942B3" w:rsidRDefault="001410DC" w:rsidP="003942B3">
            <w:pPr>
              <w:pStyle w:val="af7"/>
              <w:jc w:val="both"/>
            </w:pPr>
          </w:p>
          <w:p w14:paraId="6A00B792" w14:textId="77777777" w:rsidR="001410DC" w:rsidRPr="003942B3" w:rsidRDefault="001410DC" w:rsidP="003942B3">
            <w:pPr>
              <w:pStyle w:val="af7"/>
              <w:jc w:val="both"/>
            </w:pPr>
          </w:p>
          <w:p w14:paraId="388F3B59" w14:textId="77777777" w:rsidR="001410DC" w:rsidRPr="003942B3" w:rsidRDefault="001410DC" w:rsidP="003942B3">
            <w:pPr>
              <w:pStyle w:val="af7"/>
              <w:jc w:val="both"/>
            </w:pPr>
          </w:p>
          <w:p w14:paraId="69E4A0F8" w14:textId="77777777" w:rsidR="001410DC" w:rsidRPr="003942B3" w:rsidRDefault="001410DC" w:rsidP="003942B3">
            <w:pPr>
              <w:pStyle w:val="af7"/>
              <w:jc w:val="both"/>
            </w:pPr>
          </w:p>
          <w:p w14:paraId="3846EFCC" w14:textId="77777777" w:rsidR="001410DC" w:rsidRPr="003942B3" w:rsidRDefault="001410DC" w:rsidP="003942B3">
            <w:pPr>
              <w:pStyle w:val="af7"/>
              <w:jc w:val="both"/>
            </w:pPr>
          </w:p>
          <w:p w14:paraId="146A3C55" w14:textId="77777777" w:rsidR="001410DC" w:rsidRPr="003942B3" w:rsidRDefault="001410DC" w:rsidP="003942B3">
            <w:pPr>
              <w:pStyle w:val="af7"/>
              <w:jc w:val="both"/>
            </w:pPr>
            <w:r w:rsidRPr="003942B3">
              <w:t>Исключить.</w:t>
            </w:r>
          </w:p>
          <w:p w14:paraId="4A993D7A" w14:textId="77777777" w:rsidR="001410DC" w:rsidRPr="003942B3" w:rsidRDefault="001410DC" w:rsidP="003942B3">
            <w:pPr>
              <w:pStyle w:val="af7"/>
              <w:jc w:val="both"/>
            </w:pPr>
          </w:p>
          <w:p w14:paraId="73D85ECA" w14:textId="77777777" w:rsidR="001410DC" w:rsidRPr="003942B3" w:rsidRDefault="001410DC" w:rsidP="003942B3">
            <w:pPr>
              <w:pStyle w:val="af7"/>
              <w:jc w:val="both"/>
            </w:pPr>
          </w:p>
          <w:p w14:paraId="4EB953AF" w14:textId="77777777" w:rsidR="001410DC" w:rsidRPr="003942B3" w:rsidRDefault="001410DC" w:rsidP="003942B3">
            <w:pPr>
              <w:pStyle w:val="af7"/>
              <w:jc w:val="both"/>
            </w:pPr>
          </w:p>
          <w:p w14:paraId="36CC346B" w14:textId="77777777" w:rsidR="001410DC" w:rsidRPr="003942B3" w:rsidRDefault="001410DC" w:rsidP="003942B3">
            <w:pPr>
              <w:pStyle w:val="af7"/>
              <w:jc w:val="both"/>
            </w:pPr>
          </w:p>
          <w:p w14:paraId="5303D086" w14:textId="77777777" w:rsidR="001410DC" w:rsidRPr="003942B3" w:rsidRDefault="001410DC" w:rsidP="003942B3">
            <w:pPr>
              <w:pStyle w:val="af7"/>
              <w:jc w:val="both"/>
            </w:pPr>
          </w:p>
          <w:p w14:paraId="546394D9" w14:textId="77777777" w:rsidR="001410DC" w:rsidRPr="003942B3" w:rsidRDefault="001410DC" w:rsidP="003942B3">
            <w:pPr>
              <w:pStyle w:val="af7"/>
              <w:jc w:val="both"/>
            </w:pPr>
          </w:p>
          <w:p w14:paraId="0B521F74" w14:textId="77777777" w:rsidR="001410DC" w:rsidRPr="003942B3" w:rsidRDefault="001410DC" w:rsidP="003942B3">
            <w:pPr>
              <w:pStyle w:val="af7"/>
              <w:jc w:val="both"/>
            </w:pPr>
          </w:p>
          <w:p w14:paraId="688D57B7" w14:textId="77777777" w:rsidR="001410DC" w:rsidRPr="003942B3" w:rsidRDefault="001410DC" w:rsidP="003942B3">
            <w:pPr>
              <w:pStyle w:val="af7"/>
              <w:jc w:val="both"/>
            </w:pPr>
          </w:p>
          <w:p w14:paraId="4FD0D03D" w14:textId="77777777" w:rsidR="001410DC" w:rsidRPr="003942B3" w:rsidRDefault="001410DC" w:rsidP="003942B3">
            <w:pPr>
              <w:pStyle w:val="af7"/>
              <w:jc w:val="both"/>
            </w:pPr>
          </w:p>
          <w:p w14:paraId="18D1A441" w14:textId="77777777" w:rsidR="001410DC" w:rsidRPr="003942B3" w:rsidRDefault="001410DC" w:rsidP="003942B3">
            <w:pPr>
              <w:pStyle w:val="af7"/>
              <w:jc w:val="both"/>
            </w:pPr>
            <w:r w:rsidRPr="003942B3">
              <w:t>Исключить.</w:t>
            </w:r>
          </w:p>
          <w:p w14:paraId="3D972143" w14:textId="77777777" w:rsidR="001410DC" w:rsidRPr="003942B3" w:rsidRDefault="001410DC" w:rsidP="003942B3">
            <w:pPr>
              <w:pStyle w:val="af7"/>
              <w:jc w:val="both"/>
            </w:pPr>
          </w:p>
          <w:p w14:paraId="69E3E466" w14:textId="77777777" w:rsidR="001410DC" w:rsidRPr="003942B3" w:rsidRDefault="001410DC" w:rsidP="003942B3">
            <w:pPr>
              <w:pStyle w:val="af7"/>
              <w:jc w:val="both"/>
            </w:pPr>
          </w:p>
          <w:p w14:paraId="3E480A38" w14:textId="77777777" w:rsidR="001410DC" w:rsidRPr="003942B3" w:rsidRDefault="001410DC" w:rsidP="003942B3">
            <w:pPr>
              <w:pStyle w:val="af7"/>
              <w:jc w:val="both"/>
            </w:pPr>
          </w:p>
          <w:p w14:paraId="4D6A515B" w14:textId="77777777" w:rsidR="00E80422" w:rsidRPr="003942B3" w:rsidRDefault="00E80422" w:rsidP="003942B3">
            <w:pPr>
              <w:pStyle w:val="af7"/>
              <w:jc w:val="both"/>
            </w:pPr>
          </w:p>
          <w:p w14:paraId="6CBCD41E" w14:textId="7832BC2F" w:rsidR="001410DC" w:rsidRPr="003942B3" w:rsidRDefault="001410DC" w:rsidP="003942B3">
            <w:pPr>
              <w:pStyle w:val="af7"/>
              <w:jc w:val="both"/>
            </w:pPr>
            <w:r w:rsidRPr="003942B3">
              <w:lastRenderedPageBreak/>
              <w:t>Исключить.</w:t>
            </w:r>
          </w:p>
          <w:p w14:paraId="23227192" w14:textId="77777777" w:rsidR="001410DC" w:rsidRPr="003942B3" w:rsidRDefault="001410DC" w:rsidP="003942B3">
            <w:pPr>
              <w:pStyle w:val="af7"/>
              <w:jc w:val="both"/>
            </w:pPr>
          </w:p>
          <w:p w14:paraId="7B6BAC73" w14:textId="77777777" w:rsidR="001410DC" w:rsidRPr="003942B3" w:rsidRDefault="001410DC" w:rsidP="003942B3">
            <w:pPr>
              <w:pStyle w:val="af7"/>
              <w:jc w:val="both"/>
            </w:pPr>
          </w:p>
          <w:p w14:paraId="6CC3C3BE" w14:textId="77777777" w:rsidR="001410DC" w:rsidRPr="003942B3" w:rsidRDefault="001410DC" w:rsidP="003942B3">
            <w:pPr>
              <w:pStyle w:val="af7"/>
              <w:jc w:val="both"/>
            </w:pPr>
          </w:p>
          <w:p w14:paraId="2D39358E" w14:textId="77777777" w:rsidR="001410DC" w:rsidRPr="003942B3" w:rsidRDefault="001410DC" w:rsidP="003942B3">
            <w:pPr>
              <w:pStyle w:val="af7"/>
              <w:jc w:val="both"/>
            </w:pPr>
          </w:p>
          <w:p w14:paraId="06C840DC" w14:textId="77777777" w:rsidR="001410DC" w:rsidRPr="003942B3" w:rsidRDefault="001410DC" w:rsidP="003942B3">
            <w:pPr>
              <w:pStyle w:val="af7"/>
              <w:jc w:val="both"/>
            </w:pPr>
            <w:r w:rsidRPr="003942B3">
              <w:t>Исключить.</w:t>
            </w:r>
          </w:p>
          <w:p w14:paraId="4B6CFB35" w14:textId="77777777" w:rsidR="001410DC" w:rsidRPr="003942B3" w:rsidRDefault="001410DC" w:rsidP="003942B3">
            <w:pPr>
              <w:pStyle w:val="af7"/>
              <w:jc w:val="both"/>
            </w:pPr>
          </w:p>
          <w:p w14:paraId="2EEDFE71" w14:textId="77777777" w:rsidR="001410DC" w:rsidRPr="003942B3" w:rsidRDefault="001410DC" w:rsidP="003942B3">
            <w:pPr>
              <w:pStyle w:val="af7"/>
              <w:jc w:val="both"/>
            </w:pPr>
          </w:p>
          <w:p w14:paraId="7B46F4E3" w14:textId="77777777" w:rsidR="001410DC" w:rsidRPr="003942B3" w:rsidRDefault="001410DC" w:rsidP="003942B3">
            <w:pPr>
              <w:pStyle w:val="af7"/>
              <w:jc w:val="both"/>
            </w:pPr>
          </w:p>
          <w:p w14:paraId="6C2D9F60" w14:textId="77777777" w:rsidR="001410DC" w:rsidRPr="003942B3" w:rsidRDefault="001410DC" w:rsidP="003942B3">
            <w:pPr>
              <w:pStyle w:val="af7"/>
              <w:jc w:val="both"/>
            </w:pPr>
          </w:p>
          <w:p w14:paraId="2D4809E8" w14:textId="77777777" w:rsidR="001410DC" w:rsidRPr="003942B3" w:rsidRDefault="001410DC" w:rsidP="003942B3">
            <w:pPr>
              <w:pStyle w:val="af7"/>
              <w:jc w:val="both"/>
            </w:pPr>
          </w:p>
          <w:p w14:paraId="3FB0CFA4" w14:textId="77777777" w:rsidR="001410DC" w:rsidRPr="003942B3" w:rsidRDefault="001410DC" w:rsidP="003942B3">
            <w:pPr>
              <w:pStyle w:val="af7"/>
              <w:jc w:val="both"/>
            </w:pPr>
          </w:p>
          <w:p w14:paraId="7D1A8F8E" w14:textId="77777777" w:rsidR="001410DC" w:rsidRPr="003942B3" w:rsidRDefault="001410DC" w:rsidP="003942B3">
            <w:pPr>
              <w:pStyle w:val="af7"/>
              <w:jc w:val="both"/>
            </w:pPr>
            <w:r w:rsidRPr="003942B3">
              <w:t>…</w:t>
            </w:r>
          </w:p>
          <w:p w14:paraId="7F0237A3" w14:textId="77777777" w:rsidR="001410DC" w:rsidRPr="003942B3" w:rsidRDefault="001410DC" w:rsidP="003942B3">
            <w:pPr>
              <w:pStyle w:val="af7"/>
              <w:jc w:val="both"/>
              <w:rPr>
                <w:rFonts w:eastAsia="Calibri"/>
              </w:rPr>
            </w:pPr>
            <w:r w:rsidRPr="003942B3">
              <w:t xml:space="preserve">6. </w:t>
            </w:r>
            <w:r w:rsidRPr="003942B3">
              <w:rPr>
                <w:rFonts w:eastAsia="Calibri"/>
              </w:rPr>
              <w:t>Срок давности по взысканию налогов и других обязательных платежей в бюджет, финансовых и штрафных санкций, предусмотренных действующим законодательством Приднестровской Молдавской Республики, составляет:</w:t>
            </w:r>
          </w:p>
          <w:p w14:paraId="131D6E90" w14:textId="77777777" w:rsidR="001410DC" w:rsidRPr="003942B3" w:rsidRDefault="001410DC" w:rsidP="003942B3">
            <w:pPr>
              <w:pStyle w:val="af7"/>
              <w:jc w:val="both"/>
              <w:rPr>
                <w:rFonts w:eastAsia="Calibri"/>
              </w:rPr>
            </w:pPr>
            <w:r w:rsidRPr="003942B3">
              <w:rPr>
                <w:rFonts w:eastAsia="Calibri"/>
              </w:rPr>
              <w:t>а) по претензиям, предъявленным к физическим лицам, за исключением индивидуальных предпринимателей, – 3 (три) года со дня совершения нарушения, образования недоимки;</w:t>
            </w:r>
          </w:p>
          <w:p w14:paraId="6B275803" w14:textId="77777777" w:rsidR="001410DC" w:rsidRPr="003942B3" w:rsidRDefault="001410DC" w:rsidP="003942B3">
            <w:pPr>
              <w:pStyle w:val="af7"/>
              <w:jc w:val="both"/>
              <w:rPr>
                <w:rFonts w:eastAsia="Calibri"/>
              </w:rPr>
            </w:pPr>
            <w:r w:rsidRPr="003942B3">
              <w:rPr>
                <w:rFonts w:eastAsia="Calibri"/>
              </w:rPr>
              <w:t>б) по претензиям, предъявленным к юридическим лицам, индивидуальным предпринимателям и иным категориям налогоплательщиков, не указанным в подпункте а) настоящей части, – 6 (шесть) лет со дня совершения нарушения, образования недоимки.</w:t>
            </w:r>
          </w:p>
          <w:p w14:paraId="5F6852CA" w14:textId="77777777" w:rsidR="001410DC" w:rsidRPr="003942B3" w:rsidRDefault="001410DC" w:rsidP="003942B3">
            <w:pPr>
              <w:pStyle w:val="af7"/>
              <w:jc w:val="both"/>
            </w:pPr>
            <w:r w:rsidRPr="003942B3">
              <w:rPr>
                <w:rFonts w:eastAsia="Calibri"/>
              </w:rPr>
              <w:t>Предусмотренные настоящим Законом меры ответственности налогоплательщика и его должностных лиц за нарушение налогового законодательства Приднестровской Молдавской Республики, в том числе по результатам осуществления налоговыми органами контрольной (надзорной) деятельности, за исключением финансовой санкции в виде пени, а также меры по взысканию недоимок по налогам и другим обязательным платежам в бюджет, финансовым и штрафным санкциям, не подлежат применению по истечении установленного настоящей статьей срока давности</w:t>
            </w:r>
            <w:r w:rsidRPr="003942B3">
              <w:t>.</w:t>
            </w:r>
          </w:p>
          <w:p w14:paraId="403CF835" w14:textId="77777777" w:rsidR="001410DC" w:rsidRPr="003942B3" w:rsidRDefault="001410DC" w:rsidP="003942B3">
            <w:pPr>
              <w:pStyle w:val="af7"/>
              <w:jc w:val="both"/>
            </w:pPr>
            <w:r w:rsidRPr="003942B3">
              <w:rPr>
                <w:rFonts w:eastAsia="Calibri"/>
              </w:rPr>
              <w:t>Течение установленного настоящей статьей срока давности приостанавливается на период приостановления деятельности налогоплательщика в соответствии с действующим законодательством Приднестровской Молдавской Республики.</w:t>
            </w:r>
          </w:p>
          <w:p w14:paraId="7E0AE783" w14:textId="77777777" w:rsidR="001410DC" w:rsidRPr="003942B3" w:rsidRDefault="001410DC" w:rsidP="003942B3">
            <w:pPr>
              <w:pStyle w:val="af7"/>
              <w:jc w:val="both"/>
            </w:pPr>
            <w:r w:rsidRPr="003942B3">
              <w:t xml:space="preserve">Безнадежные или невозможные к взысканию недоимки по налогам и другим обязательным платежам в бюджет и внебюджетные фонды, а также суммам штрафов и иных санкций </w:t>
            </w:r>
            <w:r w:rsidRPr="003942B3">
              <w:lastRenderedPageBreak/>
              <w:t>подлежат списанию: по платежам в республиканский бюджет и в местные бюджеты – на основании заключений территориальных налоговых инспекций; по платежам во внебюджетные фонды – на основании заключений территориальных налоговых инспекций, согласованных с органом, осуществляющим контроль за расходованием средств соответствующего внебюджетного фонда. Взыскание платежей признаётся безнадёжным или невозможным в случаях:</w:t>
            </w:r>
          </w:p>
          <w:p w14:paraId="036079C4" w14:textId="77777777" w:rsidR="001410DC" w:rsidRPr="003942B3" w:rsidRDefault="001410DC" w:rsidP="003942B3">
            <w:pPr>
              <w:pStyle w:val="af7"/>
              <w:jc w:val="both"/>
            </w:pPr>
            <w:r w:rsidRPr="003942B3">
              <w:t>а) отсутствия имущества у юридического или физического лица, осуществляющего предпринимательскую деятельность, объявленного банкротом;</w:t>
            </w:r>
          </w:p>
          <w:p w14:paraId="272BFA58" w14:textId="77777777" w:rsidR="001410DC" w:rsidRPr="003942B3" w:rsidRDefault="001410DC" w:rsidP="003942B3">
            <w:pPr>
              <w:pStyle w:val="af7"/>
              <w:jc w:val="both"/>
            </w:pPr>
            <w:r w:rsidRPr="003942B3">
              <w:t>а-1) если сумма задолженности налогоплательщика – юридического лица перед бюджетами различных уровней и государственными внебюджетными фондами не превышает 300 РУ МЗП при условии отсутствия имущества, дебиторской задолженности и иных активов у юридического лица и принятия решения суда о ликвидации данного юридического лица;</w:t>
            </w:r>
          </w:p>
          <w:p w14:paraId="5D2FC6E7" w14:textId="77777777" w:rsidR="001410DC" w:rsidRPr="003942B3" w:rsidRDefault="001410DC" w:rsidP="003942B3">
            <w:pPr>
              <w:pStyle w:val="af7"/>
              <w:jc w:val="both"/>
            </w:pPr>
            <w:r w:rsidRPr="003942B3">
              <w:t>б) смерти физического лица и отсутствия других лиц, обязанных по закону исполнить его обязательства;</w:t>
            </w:r>
          </w:p>
          <w:p w14:paraId="0CEE69F5" w14:textId="25B56314" w:rsidR="001410DC" w:rsidRPr="003942B3" w:rsidRDefault="001410DC" w:rsidP="003942B3">
            <w:pPr>
              <w:pStyle w:val="af7"/>
              <w:jc w:val="both"/>
            </w:pPr>
            <w:r w:rsidRPr="003942B3">
              <w:t>в) принятия судом акта, в соответствии с которым налоговый орган утрачивает возможность взыскания задолженности в связи с истечением установленного срока давности.</w:t>
            </w:r>
          </w:p>
          <w:p w14:paraId="31638DE8" w14:textId="77777777" w:rsidR="001410DC" w:rsidRPr="003942B3" w:rsidRDefault="001410DC" w:rsidP="003942B3">
            <w:pPr>
              <w:pStyle w:val="af7"/>
              <w:jc w:val="both"/>
            </w:pPr>
            <w:r w:rsidRPr="003942B3">
              <w:t>…</w:t>
            </w:r>
          </w:p>
        </w:tc>
      </w:tr>
    </w:tbl>
    <w:p w14:paraId="1EBAD2DD" w14:textId="77777777" w:rsidR="001410DC" w:rsidRPr="003942B3" w:rsidRDefault="001410DC" w:rsidP="003942B3">
      <w:pPr>
        <w:pStyle w:val="af7"/>
        <w:jc w:val="both"/>
      </w:pPr>
    </w:p>
    <w:sectPr w:rsidR="001410DC" w:rsidRPr="003942B3" w:rsidSect="003942B3">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F4BAD" w14:textId="77777777" w:rsidR="00153334" w:rsidRDefault="00153334">
      <w:r>
        <w:separator/>
      </w:r>
    </w:p>
  </w:endnote>
  <w:endnote w:type="continuationSeparator" w:id="0">
    <w:p w14:paraId="160C536D" w14:textId="77777777" w:rsidR="00153334" w:rsidRDefault="0015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BD39D" w14:textId="77777777" w:rsidR="00153334" w:rsidRDefault="00153334">
      <w:r>
        <w:separator/>
      </w:r>
    </w:p>
  </w:footnote>
  <w:footnote w:type="continuationSeparator" w:id="0">
    <w:p w14:paraId="45B3FB71" w14:textId="77777777" w:rsidR="00153334" w:rsidRDefault="00153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B53F35"/>
    <w:multiLevelType w:val="hybridMultilevel"/>
    <w:tmpl w:val="1B62CFD0"/>
    <w:lvl w:ilvl="0" w:tplc="F74CB7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455"/>
    <w:rsid w:val="00003044"/>
    <w:rsid w:val="000031A4"/>
    <w:rsid w:val="00010E5D"/>
    <w:rsid w:val="00012214"/>
    <w:rsid w:val="00012B58"/>
    <w:rsid w:val="0002031E"/>
    <w:rsid w:val="00042C4C"/>
    <w:rsid w:val="00043BB7"/>
    <w:rsid w:val="00063B45"/>
    <w:rsid w:val="0007510C"/>
    <w:rsid w:val="00081546"/>
    <w:rsid w:val="00094B01"/>
    <w:rsid w:val="000B2220"/>
    <w:rsid w:val="000B4384"/>
    <w:rsid w:val="000F7BCD"/>
    <w:rsid w:val="00101EF5"/>
    <w:rsid w:val="001371B5"/>
    <w:rsid w:val="00140715"/>
    <w:rsid w:val="001410DC"/>
    <w:rsid w:val="00153334"/>
    <w:rsid w:val="00165F8E"/>
    <w:rsid w:val="001B1053"/>
    <w:rsid w:val="001B3092"/>
    <w:rsid w:val="001D5A20"/>
    <w:rsid w:val="001D7320"/>
    <w:rsid w:val="001E0DCB"/>
    <w:rsid w:val="001F63B3"/>
    <w:rsid w:val="0020582E"/>
    <w:rsid w:val="00216CAD"/>
    <w:rsid w:val="0024616D"/>
    <w:rsid w:val="00246EDF"/>
    <w:rsid w:val="002603DF"/>
    <w:rsid w:val="00262678"/>
    <w:rsid w:val="00285D29"/>
    <w:rsid w:val="002A1167"/>
    <w:rsid w:val="002B235B"/>
    <w:rsid w:val="002B4B60"/>
    <w:rsid w:val="002C471B"/>
    <w:rsid w:val="002D4130"/>
    <w:rsid w:val="002F3172"/>
    <w:rsid w:val="002F7BC5"/>
    <w:rsid w:val="00337C10"/>
    <w:rsid w:val="00350291"/>
    <w:rsid w:val="00361B67"/>
    <w:rsid w:val="00363ED8"/>
    <w:rsid w:val="00370EA1"/>
    <w:rsid w:val="00374296"/>
    <w:rsid w:val="00376763"/>
    <w:rsid w:val="003853F7"/>
    <w:rsid w:val="00392B1A"/>
    <w:rsid w:val="00394268"/>
    <w:rsid w:val="003942B3"/>
    <w:rsid w:val="003B5D87"/>
    <w:rsid w:val="003D757C"/>
    <w:rsid w:val="004118A0"/>
    <w:rsid w:val="00415310"/>
    <w:rsid w:val="00415757"/>
    <w:rsid w:val="00416319"/>
    <w:rsid w:val="00423C3B"/>
    <w:rsid w:val="004519CE"/>
    <w:rsid w:val="00476A4B"/>
    <w:rsid w:val="0048737D"/>
    <w:rsid w:val="004B40DC"/>
    <w:rsid w:val="004B64A2"/>
    <w:rsid w:val="004C113B"/>
    <w:rsid w:val="004C5C9B"/>
    <w:rsid w:val="005567A3"/>
    <w:rsid w:val="00572421"/>
    <w:rsid w:val="00580A7F"/>
    <w:rsid w:val="00587316"/>
    <w:rsid w:val="005A27FD"/>
    <w:rsid w:val="005A2B41"/>
    <w:rsid w:val="005A478F"/>
    <w:rsid w:val="005A7420"/>
    <w:rsid w:val="005B01AF"/>
    <w:rsid w:val="005D09F6"/>
    <w:rsid w:val="00600696"/>
    <w:rsid w:val="00605924"/>
    <w:rsid w:val="00607F77"/>
    <w:rsid w:val="00614789"/>
    <w:rsid w:val="00630033"/>
    <w:rsid w:val="00643F7D"/>
    <w:rsid w:val="0065296A"/>
    <w:rsid w:val="00670212"/>
    <w:rsid w:val="006724C9"/>
    <w:rsid w:val="0067509B"/>
    <w:rsid w:val="00675DEF"/>
    <w:rsid w:val="00686455"/>
    <w:rsid w:val="006866A7"/>
    <w:rsid w:val="00690BB7"/>
    <w:rsid w:val="006930FE"/>
    <w:rsid w:val="006A1F82"/>
    <w:rsid w:val="006B06C0"/>
    <w:rsid w:val="006C00DA"/>
    <w:rsid w:val="006C453D"/>
    <w:rsid w:val="006D3F95"/>
    <w:rsid w:val="006D41CF"/>
    <w:rsid w:val="006F1E93"/>
    <w:rsid w:val="006F4705"/>
    <w:rsid w:val="0070157F"/>
    <w:rsid w:val="0070686D"/>
    <w:rsid w:val="007107E3"/>
    <w:rsid w:val="00710ACC"/>
    <w:rsid w:val="00720D3B"/>
    <w:rsid w:val="0074027A"/>
    <w:rsid w:val="00744733"/>
    <w:rsid w:val="00755381"/>
    <w:rsid w:val="0075584D"/>
    <w:rsid w:val="00764187"/>
    <w:rsid w:val="00774429"/>
    <w:rsid w:val="00783192"/>
    <w:rsid w:val="00797E19"/>
    <w:rsid w:val="007D3509"/>
    <w:rsid w:val="007E71DD"/>
    <w:rsid w:val="00807BF3"/>
    <w:rsid w:val="00825745"/>
    <w:rsid w:val="00827C8F"/>
    <w:rsid w:val="0084010B"/>
    <w:rsid w:val="00840135"/>
    <w:rsid w:val="00860B03"/>
    <w:rsid w:val="008904C7"/>
    <w:rsid w:val="008A2A1B"/>
    <w:rsid w:val="008B5BD9"/>
    <w:rsid w:val="008B7D00"/>
    <w:rsid w:val="008C5AFE"/>
    <w:rsid w:val="008D490B"/>
    <w:rsid w:val="008D5821"/>
    <w:rsid w:val="008F0BCC"/>
    <w:rsid w:val="008F1B81"/>
    <w:rsid w:val="00907DE7"/>
    <w:rsid w:val="00912BB8"/>
    <w:rsid w:val="00924DCE"/>
    <w:rsid w:val="009323D0"/>
    <w:rsid w:val="00943570"/>
    <w:rsid w:val="00951733"/>
    <w:rsid w:val="00997CCA"/>
    <w:rsid w:val="009A5D97"/>
    <w:rsid w:val="009B1B29"/>
    <w:rsid w:val="009E0D67"/>
    <w:rsid w:val="009E36AE"/>
    <w:rsid w:val="009F1D93"/>
    <w:rsid w:val="009F6C4A"/>
    <w:rsid w:val="00A02139"/>
    <w:rsid w:val="00A31917"/>
    <w:rsid w:val="00A4062A"/>
    <w:rsid w:val="00A660E7"/>
    <w:rsid w:val="00A6693C"/>
    <w:rsid w:val="00A74EFC"/>
    <w:rsid w:val="00A831F3"/>
    <w:rsid w:val="00A861AA"/>
    <w:rsid w:val="00AA0F33"/>
    <w:rsid w:val="00AB5AFD"/>
    <w:rsid w:val="00AB7907"/>
    <w:rsid w:val="00AD25B6"/>
    <w:rsid w:val="00B271B1"/>
    <w:rsid w:val="00B46513"/>
    <w:rsid w:val="00B62456"/>
    <w:rsid w:val="00B6363F"/>
    <w:rsid w:val="00B66106"/>
    <w:rsid w:val="00B7688B"/>
    <w:rsid w:val="00BB2595"/>
    <w:rsid w:val="00BB4DC4"/>
    <w:rsid w:val="00BB4E47"/>
    <w:rsid w:val="00BB7019"/>
    <w:rsid w:val="00BD5F77"/>
    <w:rsid w:val="00BD6604"/>
    <w:rsid w:val="00BE3DFF"/>
    <w:rsid w:val="00C10DC4"/>
    <w:rsid w:val="00C16795"/>
    <w:rsid w:val="00C17E4A"/>
    <w:rsid w:val="00C36FDE"/>
    <w:rsid w:val="00C53675"/>
    <w:rsid w:val="00C56217"/>
    <w:rsid w:val="00C652FC"/>
    <w:rsid w:val="00C71774"/>
    <w:rsid w:val="00C7636A"/>
    <w:rsid w:val="00C82222"/>
    <w:rsid w:val="00CA2294"/>
    <w:rsid w:val="00CC68BF"/>
    <w:rsid w:val="00CC6949"/>
    <w:rsid w:val="00CD12D6"/>
    <w:rsid w:val="00CE1403"/>
    <w:rsid w:val="00CF3884"/>
    <w:rsid w:val="00D02F6C"/>
    <w:rsid w:val="00D1508F"/>
    <w:rsid w:val="00D22207"/>
    <w:rsid w:val="00D2474B"/>
    <w:rsid w:val="00D277D7"/>
    <w:rsid w:val="00D419D2"/>
    <w:rsid w:val="00D47907"/>
    <w:rsid w:val="00D57BA7"/>
    <w:rsid w:val="00D62357"/>
    <w:rsid w:val="00D85D6C"/>
    <w:rsid w:val="00D93DBD"/>
    <w:rsid w:val="00D96814"/>
    <w:rsid w:val="00DA2E4F"/>
    <w:rsid w:val="00DA73D1"/>
    <w:rsid w:val="00DA7B49"/>
    <w:rsid w:val="00DB3D28"/>
    <w:rsid w:val="00DC3237"/>
    <w:rsid w:val="00DC35C4"/>
    <w:rsid w:val="00DD03A2"/>
    <w:rsid w:val="00DD1450"/>
    <w:rsid w:val="00DD4CDC"/>
    <w:rsid w:val="00DF64B0"/>
    <w:rsid w:val="00E1367D"/>
    <w:rsid w:val="00E727CF"/>
    <w:rsid w:val="00E728FC"/>
    <w:rsid w:val="00E80422"/>
    <w:rsid w:val="00E80947"/>
    <w:rsid w:val="00E92F12"/>
    <w:rsid w:val="00EB1236"/>
    <w:rsid w:val="00EC2257"/>
    <w:rsid w:val="00ED6B1E"/>
    <w:rsid w:val="00EF00B1"/>
    <w:rsid w:val="00F03EAF"/>
    <w:rsid w:val="00F051C3"/>
    <w:rsid w:val="00F1153E"/>
    <w:rsid w:val="00F246E0"/>
    <w:rsid w:val="00F431A0"/>
    <w:rsid w:val="00F43F72"/>
    <w:rsid w:val="00F460DD"/>
    <w:rsid w:val="00F511FB"/>
    <w:rsid w:val="00F7224C"/>
    <w:rsid w:val="00F72FB8"/>
    <w:rsid w:val="00F763CF"/>
    <w:rsid w:val="00F85FBB"/>
    <w:rsid w:val="00FA2E45"/>
    <w:rsid w:val="00FA42E4"/>
    <w:rsid w:val="00FB4F4E"/>
    <w:rsid w:val="00FC1C07"/>
    <w:rsid w:val="00FD54A3"/>
    <w:rsid w:val="00FF4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CD84"/>
  <w15:docId w15:val="{E7B3E386-642D-4495-89D6-629A0A71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9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E80947"/>
    <w:pPr>
      <w:overflowPunct w:val="0"/>
      <w:autoSpaceDE w:val="0"/>
      <w:autoSpaceDN w:val="0"/>
      <w:adjustRightInd w:val="0"/>
      <w:ind w:firstLine="567"/>
      <w:jc w:val="center"/>
      <w:textAlignment w:val="baseline"/>
    </w:pPr>
    <w:rPr>
      <w:szCs w:val="20"/>
    </w:rPr>
  </w:style>
  <w:style w:type="character" w:customStyle="1" w:styleId="a4">
    <w:name w:val="Заголовок Знак"/>
    <w:basedOn w:val="a0"/>
    <w:link w:val="a3"/>
    <w:uiPriority w:val="99"/>
    <w:rsid w:val="00E80947"/>
    <w:rPr>
      <w:rFonts w:ascii="Times New Roman" w:eastAsia="Times New Roman" w:hAnsi="Times New Roman" w:cs="Times New Roman"/>
      <w:sz w:val="24"/>
      <w:szCs w:val="20"/>
      <w:lang w:val="ru-RU" w:eastAsia="ru-RU"/>
    </w:rPr>
  </w:style>
  <w:style w:type="paragraph" w:customStyle="1" w:styleId="ConsPlusTitle">
    <w:name w:val="ConsPlusTitle"/>
    <w:uiPriority w:val="99"/>
    <w:rsid w:val="00E80947"/>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5">
    <w:name w:val="Текст Знак"/>
    <w:aliases w:val="Текст Знак3 Знак,Текст Знак Знак Знак,Текст Знак1 Знак1 Знак,Знак Знак Знак Знак1 Знак,Текст Знак1 Знак Знак Знак,Текст Знак Знак Знак Знак Знак,Знак Знак Знак Знак Знак Знак,Знак Знак Знак,Текст Знак2 Знак Знак Знак,Зна Знак, Знак Знак Знак"/>
    <w:basedOn w:val="a0"/>
    <w:link w:val="a6"/>
    <w:rsid w:val="00E80947"/>
    <w:rPr>
      <w:rFonts w:ascii="Courier New" w:eastAsia="Times New Roman" w:hAnsi="Courier New" w:cs="Courier New"/>
      <w:sz w:val="20"/>
      <w:szCs w:val="20"/>
    </w:rPr>
  </w:style>
  <w:style w:type="paragraph" w:styleId="a6">
    <w:name w:val="Plain Text"/>
    <w:aliases w:val="Текст Знак3,Текст Знак Знак,Текст Знак1 Знак1,Знак Знак Знак Знак1,Текст Знак1 Знак Знак,Текст Знак Знак Знак Знак,Знак Знак Знак Знак Знак,Знак Знак,Текст Знак2 Знак Знак,Текст Знак1 Знак1 Знак Знак,Зна, Знак Знак Знак Знак1, Знак Знак,Знак, Зна"/>
    <w:basedOn w:val="a"/>
    <w:link w:val="a5"/>
    <w:uiPriority w:val="99"/>
    <w:rsid w:val="00E80947"/>
    <w:rPr>
      <w:rFonts w:ascii="Courier New" w:hAnsi="Courier New" w:cs="Courier New"/>
      <w:sz w:val="20"/>
      <w:szCs w:val="20"/>
      <w:lang w:eastAsia="en-US"/>
    </w:rPr>
  </w:style>
  <w:style w:type="character" w:customStyle="1" w:styleId="1">
    <w:name w:val="Текст Знак1"/>
    <w:aliases w:val=" Знак Знак Знак Знак Знак Знак Знак, Знак Знак Знак Знак Знак Знак Знак Знак Знак Знак,Знак3 Знак,Зн Знак"/>
    <w:basedOn w:val="a0"/>
    <w:uiPriority w:val="99"/>
    <w:rsid w:val="00E80947"/>
    <w:rPr>
      <w:rFonts w:ascii="Consolas" w:eastAsia="Times New Roman" w:hAnsi="Consolas" w:cs="Times New Roman"/>
      <w:sz w:val="21"/>
      <w:szCs w:val="21"/>
      <w:lang w:val="ru-RU" w:eastAsia="ru-RU"/>
    </w:rPr>
  </w:style>
  <w:style w:type="character" w:customStyle="1" w:styleId="a7">
    <w:name w:val="Основной текст Знак"/>
    <w:basedOn w:val="a0"/>
    <w:link w:val="a8"/>
    <w:locked/>
    <w:rsid w:val="00E80947"/>
    <w:rPr>
      <w:sz w:val="23"/>
      <w:szCs w:val="23"/>
      <w:shd w:val="clear" w:color="auto" w:fill="FFFFFF"/>
    </w:rPr>
  </w:style>
  <w:style w:type="paragraph" w:styleId="a8">
    <w:name w:val="Body Text"/>
    <w:basedOn w:val="a"/>
    <w:link w:val="a7"/>
    <w:rsid w:val="00E80947"/>
    <w:pPr>
      <w:widowControl w:val="0"/>
      <w:shd w:val="clear" w:color="auto" w:fill="FFFFFF"/>
      <w:spacing w:before="540" w:line="274" w:lineRule="exact"/>
      <w:jc w:val="both"/>
    </w:pPr>
    <w:rPr>
      <w:rFonts w:asciiTheme="minorHAnsi" w:eastAsiaTheme="minorHAnsi" w:hAnsiTheme="minorHAnsi" w:cstheme="minorBidi"/>
      <w:sz w:val="23"/>
      <w:szCs w:val="23"/>
      <w:shd w:val="clear" w:color="auto" w:fill="FFFFFF"/>
      <w:lang w:eastAsia="en-US"/>
    </w:rPr>
  </w:style>
  <w:style w:type="character" w:customStyle="1" w:styleId="10">
    <w:name w:val="Основной текст Знак1"/>
    <w:basedOn w:val="a0"/>
    <w:uiPriority w:val="99"/>
    <w:semiHidden/>
    <w:rsid w:val="00E80947"/>
    <w:rPr>
      <w:rFonts w:ascii="Times New Roman" w:eastAsia="Times New Roman" w:hAnsi="Times New Roman" w:cs="Times New Roman"/>
      <w:sz w:val="24"/>
      <w:szCs w:val="24"/>
      <w:lang w:val="ru-RU" w:eastAsia="ru-RU"/>
    </w:rPr>
  </w:style>
  <w:style w:type="character" w:customStyle="1" w:styleId="apple-style-span">
    <w:name w:val="apple-style-span"/>
    <w:basedOn w:val="a0"/>
    <w:rsid w:val="00E80947"/>
  </w:style>
  <w:style w:type="table" w:styleId="a9">
    <w:name w:val="Table Grid"/>
    <w:basedOn w:val="a1"/>
    <w:uiPriority w:val="39"/>
    <w:rsid w:val="00E8094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mall">
    <w:name w:val="text-small"/>
    <w:basedOn w:val="a0"/>
    <w:rsid w:val="00E80947"/>
  </w:style>
  <w:style w:type="character" w:customStyle="1" w:styleId="margin">
    <w:name w:val="margin"/>
    <w:basedOn w:val="a0"/>
    <w:rsid w:val="00E80947"/>
  </w:style>
  <w:style w:type="character" w:styleId="aa">
    <w:name w:val="Hyperlink"/>
    <w:basedOn w:val="a0"/>
    <w:uiPriority w:val="99"/>
    <w:unhideWhenUsed/>
    <w:rsid w:val="00E80947"/>
    <w:rPr>
      <w:color w:val="0000FF"/>
      <w:u w:val="single"/>
    </w:rPr>
  </w:style>
  <w:style w:type="paragraph" w:styleId="ab">
    <w:name w:val="header"/>
    <w:basedOn w:val="a"/>
    <w:link w:val="ac"/>
    <w:uiPriority w:val="99"/>
    <w:unhideWhenUsed/>
    <w:rsid w:val="00D419D2"/>
    <w:pPr>
      <w:tabs>
        <w:tab w:val="center" w:pos="4677"/>
        <w:tab w:val="right" w:pos="9355"/>
      </w:tabs>
    </w:pPr>
  </w:style>
  <w:style w:type="character" w:customStyle="1" w:styleId="ac">
    <w:name w:val="Верхний колонтитул Знак"/>
    <w:basedOn w:val="a0"/>
    <w:link w:val="ab"/>
    <w:uiPriority w:val="99"/>
    <w:rsid w:val="00D419D2"/>
    <w:rPr>
      <w:rFonts w:ascii="Times New Roman" w:eastAsia="Times New Roman" w:hAnsi="Times New Roman" w:cs="Times New Roman"/>
      <w:sz w:val="24"/>
      <w:szCs w:val="24"/>
      <w:lang w:val="ru-RU" w:eastAsia="ru-RU"/>
    </w:rPr>
  </w:style>
  <w:style w:type="paragraph" w:styleId="ad">
    <w:name w:val="footer"/>
    <w:basedOn w:val="a"/>
    <w:link w:val="ae"/>
    <w:uiPriority w:val="99"/>
    <w:unhideWhenUsed/>
    <w:rsid w:val="00D419D2"/>
    <w:pPr>
      <w:tabs>
        <w:tab w:val="center" w:pos="4677"/>
        <w:tab w:val="right" w:pos="9355"/>
      </w:tabs>
    </w:pPr>
  </w:style>
  <w:style w:type="character" w:customStyle="1" w:styleId="ae">
    <w:name w:val="Нижний колонтитул Знак"/>
    <w:basedOn w:val="a0"/>
    <w:link w:val="ad"/>
    <w:uiPriority w:val="99"/>
    <w:rsid w:val="00D419D2"/>
    <w:rPr>
      <w:rFonts w:ascii="Times New Roman" w:eastAsia="Times New Roman" w:hAnsi="Times New Roman" w:cs="Times New Roman"/>
      <w:sz w:val="24"/>
      <w:szCs w:val="24"/>
      <w:lang w:val="ru-RU" w:eastAsia="ru-RU"/>
    </w:rPr>
  </w:style>
  <w:style w:type="character" w:styleId="af">
    <w:name w:val="annotation reference"/>
    <w:basedOn w:val="a0"/>
    <w:uiPriority w:val="99"/>
    <w:semiHidden/>
    <w:unhideWhenUsed/>
    <w:rsid w:val="00042C4C"/>
    <w:rPr>
      <w:sz w:val="16"/>
      <w:szCs w:val="16"/>
    </w:rPr>
  </w:style>
  <w:style w:type="paragraph" w:styleId="af0">
    <w:name w:val="annotation text"/>
    <w:basedOn w:val="a"/>
    <w:link w:val="af1"/>
    <w:uiPriority w:val="99"/>
    <w:semiHidden/>
    <w:unhideWhenUsed/>
    <w:rsid w:val="00042C4C"/>
    <w:rPr>
      <w:sz w:val="20"/>
      <w:szCs w:val="20"/>
    </w:rPr>
  </w:style>
  <w:style w:type="character" w:customStyle="1" w:styleId="af1">
    <w:name w:val="Текст примечания Знак"/>
    <w:basedOn w:val="a0"/>
    <w:link w:val="af0"/>
    <w:uiPriority w:val="99"/>
    <w:semiHidden/>
    <w:rsid w:val="00042C4C"/>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042C4C"/>
    <w:rPr>
      <w:b/>
      <w:bCs/>
    </w:rPr>
  </w:style>
  <w:style w:type="character" w:customStyle="1" w:styleId="af3">
    <w:name w:val="Тема примечания Знак"/>
    <w:basedOn w:val="af1"/>
    <w:link w:val="af2"/>
    <w:uiPriority w:val="99"/>
    <w:semiHidden/>
    <w:rsid w:val="00042C4C"/>
    <w:rPr>
      <w:rFonts w:ascii="Times New Roman" w:eastAsia="Times New Roman" w:hAnsi="Times New Roman" w:cs="Times New Roman"/>
      <w:b/>
      <w:bCs/>
      <w:sz w:val="20"/>
      <w:szCs w:val="20"/>
      <w:lang w:eastAsia="ru-RU"/>
    </w:rPr>
  </w:style>
  <w:style w:type="paragraph" w:styleId="af4">
    <w:name w:val="Balloon Text"/>
    <w:basedOn w:val="a"/>
    <w:link w:val="af5"/>
    <w:uiPriority w:val="99"/>
    <w:semiHidden/>
    <w:unhideWhenUsed/>
    <w:rsid w:val="000F7BCD"/>
    <w:rPr>
      <w:rFonts w:ascii="Segoe UI" w:hAnsi="Segoe UI" w:cs="Segoe UI"/>
      <w:sz w:val="18"/>
      <w:szCs w:val="18"/>
    </w:rPr>
  </w:style>
  <w:style w:type="character" w:customStyle="1" w:styleId="af5">
    <w:name w:val="Текст выноски Знак"/>
    <w:basedOn w:val="a0"/>
    <w:link w:val="af4"/>
    <w:uiPriority w:val="99"/>
    <w:semiHidden/>
    <w:rsid w:val="000F7BCD"/>
    <w:rPr>
      <w:rFonts w:ascii="Segoe UI" w:eastAsia="Times New Roman" w:hAnsi="Segoe UI" w:cs="Segoe UI"/>
      <w:sz w:val="18"/>
      <w:szCs w:val="18"/>
      <w:lang w:eastAsia="ru-RU"/>
    </w:rPr>
  </w:style>
  <w:style w:type="character" w:customStyle="1" w:styleId="11">
    <w:name w:val="Текст Знак1 Знак Знак1"/>
    <w:aliases w:val="Текст Знак Знак Знак Знак1, Знак Знак Знак Знак Знак,Знак Знак Знак Знак Знак1,Знак Знак2,Текст Знак2 Знак1,Текст Знак1 Знак Знак Знак1,Знак Знак Знак1"/>
    <w:rsid w:val="00FB4F4E"/>
    <w:rPr>
      <w:rFonts w:ascii="Courier New" w:hAnsi="Courier New" w:cs="Courier New"/>
      <w:lang w:val="ru-RU" w:eastAsia="ru-RU" w:bidi="ar-SA"/>
    </w:rPr>
  </w:style>
  <w:style w:type="character" w:customStyle="1" w:styleId="12">
    <w:name w:val="Неразрешенное упоминание1"/>
    <w:basedOn w:val="a0"/>
    <w:uiPriority w:val="99"/>
    <w:semiHidden/>
    <w:unhideWhenUsed/>
    <w:rsid w:val="00094B01"/>
    <w:rPr>
      <w:color w:val="605E5C"/>
      <w:shd w:val="clear" w:color="auto" w:fill="E1DFDD"/>
    </w:rPr>
  </w:style>
  <w:style w:type="paragraph" w:styleId="af6">
    <w:name w:val="List Paragraph"/>
    <w:basedOn w:val="a"/>
    <w:uiPriority w:val="34"/>
    <w:qFormat/>
    <w:rsid w:val="00043BB7"/>
    <w:pPr>
      <w:ind w:left="720"/>
      <w:contextualSpacing/>
    </w:pPr>
  </w:style>
  <w:style w:type="paragraph" w:styleId="af7">
    <w:name w:val="No Spacing"/>
    <w:uiPriority w:val="1"/>
    <w:qFormat/>
    <w:rsid w:val="003942B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56871">
      <w:bodyDiv w:val="1"/>
      <w:marLeft w:val="0"/>
      <w:marRight w:val="0"/>
      <w:marTop w:val="0"/>
      <w:marBottom w:val="0"/>
      <w:divBdr>
        <w:top w:val="none" w:sz="0" w:space="0" w:color="auto"/>
        <w:left w:val="none" w:sz="0" w:space="0" w:color="auto"/>
        <w:bottom w:val="none" w:sz="0" w:space="0" w:color="auto"/>
        <w:right w:val="none" w:sz="0" w:space="0" w:color="auto"/>
      </w:divBdr>
    </w:div>
    <w:div w:id="576987312">
      <w:bodyDiv w:val="1"/>
      <w:marLeft w:val="0"/>
      <w:marRight w:val="0"/>
      <w:marTop w:val="0"/>
      <w:marBottom w:val="0"/>
      <w:divBdr>
        <w:top w:val="none" w:sz="0" w:space="0" w:color="auto"/>
        <w:left w:val="none" w:sz="0" w:space="0" w:color="auto"/>
        <w:bottom w:val="none" w:sz="0" w:space="0" w:color="auto"/>
        <w:right w:val="none" w:sz="0" w:space="0" w:color="auto"/>
      </w:divBdr>
      <w:divsChild>
        <w:div w:id="1464688554">
          <w:marLeft w:val="0"/>
          <w:marRight w:val="0"/>
          <w:marTop w:val="0"/>
          <w:marBottom w:val="0"/>
          <w:divBdr>
            <w:top w:val="none" w:sz="0" w:space="0" w:color="auto"/>
            <w:left w:val="none" w:sz="0" w:space="0" w:color="auto"/>
            <w:bottom w:val="none" w:sz="0" w:space="0" w:color="auto"/>
            <w:right w:val="none" w:sz="0" w:space="0" w:color="auto"/>
          </w:divBdr>
        </w:div>
        <w:div w:id="780298798">
          <w:marLeft w:val="0"/>
          <w:marRight w:val="0"/>
          <w:marTop w:val="0"/>
          <w:marBottom w:val="0"/>
          <w:divBdr>
            <w:top w:val="none" w:sz="0" w:space="0" w:color="auto"/>
            <w:left w:val="none" w:sz="0" w:space="0" w:color="auto"/>
            <w:bottom w:val="none" w:sz="0" w:space="0" w:color="auto"/>
            <w:right w:val="none" w:sz="0" w:space="0" w:color="auto"/>
          </w:divBdr>
        </w:div>
        <w:div w:id="2102144373">
          <w:marLeft w:val="0"/>
          <w:marRight w:val="0"/>
          <w:marTop w:val="0"/>
          <w:marBottom w:val="0"/>
          <w:divBdr>
            <w:top w:val="none" w:sz="0" w:space="0" w:color="auto"/>
            <w:left w:val="none" w:sz="0" w:space="0" w:color="auto"/>
            <w:bottom w:val="none" w:sz="0" w:space="0" w:color="auto"/>
            <w:right w:val="none" w:sz="0" w:space="0" w:color="auto"/>
          </w:divBdr>
        </w:div>
        <w:div w:id="1751847133">
          <w:marLeft w:val="0"/>
          <w:marRight w:val="0"/>
          <w:marTop w:val="0"/>
          <w:marBottom w:val="0"/>
          <w:divBdr>
            <w:top w:val="none" w:sz="0" w:space="0" w:color="auto"/>
            <w:left w:val="none" w:sz="0" w:space="0" w:color="auto"/>
            <w:bottom w:val="none" w:sz="0" w:space="0" w:color="auto"/>
            <w:right w:val="none" w:sz="0" w:space="0" w:color="auto"/>
          </w:divBdr>
          <w:divsChild>
            <w:div w:id="246965481">
              <w:marLeft w:val="0"/>
              <w:marRight w:val="0"/>
              <w:marTop w:val="0"/>
              <w:marBottom w:val="0"/>
              <w:divBdr>
                <w:top w:val="none" w:sz="0" w:space="0" w:color="auto"/>
                <w:left w:val="none" w:sz="0" w:space="0" w:color="auto"/>
                <w:bottom w:val="none" w:sz="0" w:space="0" w:color="auto"/>
                <w:right w:val="none" w:sz="0" w:space="0" w:color="auto"/>
              </w:divBdr>
              <w:divsChild>
                <w:div w:id="171017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6516">
          <w:marLeft w:val="0"/>
          <w:marRight w:val="0"/>
          <w:marTop w:val="0"/>
          <w:marBottom w:val="0"/>
          <w:divBdr>
            <w:top w:val="none" w:sz="0" w:space="0" w:color="auto"/>
            <w:left w:val="none" w:sz="0" w:space="0" w:color="auto"/>
            <w:bottom w:val="none" w:sz="0" w:space="0" w:color="auto"/>
            <w:right w:val="none" w:sz="0" w:space="0" w:color="auto"/>
          </w:divBdr>
        </w:div>
        <w:div w:id="1928490430">
          <w:marLeft w:val="0"/>
          <w:marRight w:val="0"/>
          <w:marTop w:val="0"/>
          <w:marBottom w:val="0"/>
          <w:divBdr>
            <w:top w:val="none" w:sz="0" w:space="0" w:color="auto"/>
            <w:left w:val="none" w:sz="0" w:space="0" w:color="auto"/>
            <w:bottom w:val="none" w:sz="0" w:space="0" w:color="auto"/>
            <w:right w:val="none" w:sz="0" w:space="0" w:color="auto"/>
          </w:divBdr>
          <w:divsChild>
            <w:div w:id="316882661">
              <w:marLeft w:val="0"/>
              <w:marRight w:val="0"/>
              <w:marTop w:val="0"/>
              <w:marBottom w:val="0"/>
              <w:divBdr>
                <w:top w:val="none" w:sz="0" w:space="0" w:color="auto"/>
                <w:left w:val="none" w:sz="0" w:space="0" w:color="auto"/>
                <w:bottom w:val="none" w:sz="0" w:space="0" w:color="auto"/>
                <w:right w:val="none" w:sz="0" w:space="0" w:color="auto"/>
              </w:divBdr>
              <w:divsChild>
                <w:div w:id="250310664">
                  <w:marLeft w:val="0"/>
                  <w:marRight w:val="0"/>
                  <w:marTop w:val="0"/>
                  <w:marBottom w:val="0"/>
                  <w:divBdr>
                    <w:top w:val="none" w:sz="0" w:space="0" w:color="auto"/>
                    <w:left w:val="none" w:sz="0" w:space="0" w:color="auto"/>
                    <w:bottom w:val="none" w:sz="0" w:space="0" w:color="auto"/>
                    <w:right w:val="none" w:sz="0" w:space="0" w:color="auto"/>
                  </w:divBdr>
                  <w:divsChild>
                    <w:div w:id="163794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111111">
          <w:marLeft w:val="0"/>
          <w:marRight w:val="0"/>
          <w:marTop w:val="0"/>
          <w:marBottom w:val="0"/>
          <w:divBdr>
            <w:top w:val="none" w:sz="0" w:space="0" w:color="auto"/>
            <w:left w:val="none" w:sz="0" w:space="0" w:color="auto"/>
            <w:bottom w:val="none" w:sz="0" w:space="0" w:color="auto"/>
            <w:right w:val="none" w:sz="0" w:space="0" w:color="auto"/>
          </w:divBdr>
        </w:div>
        <w:div w:id="548803426">
          <w:marLeft w:val="0"/>
          <w:marRight w:val="0"/>
          <w:marTop w:val="0"/>
          <w:marBottom w:val="0"/>
          <w:divBdr>
            <w:top w:val="none" w:sz="0" w:space="0" w:color="auto"/>
            <w:left w:val="none" w:sz="0" w:space="0" w:color="auto"/>
            <w:bottom w:val="none" w:sz="0" w:space="0" w:color="auto"/>
            <w:right w:val="none" w:sz="0" w:space="0" w:color="auto"/>
          </w:divBdr>
        </w:div>
      </w:divsChild>
    </w:div>
    <w:div w:id="768232433">
      <w:bodyDiv w:val="1"/>
      <w:marLeft w:val="0"/>
      <w:marRight w:val="0"/>
      <w:marTop w:val="0"/>
      <w:marBottom w:val="0"/>
      <w:divBdr>
        <w:top w:val="none" w:sz="0" w:space="0" w:color="auto"/>
        <w:left w:val="none" w:sz="0" w:space="0" w:color="auto"/>
        <w:bottom w:val="none" w:sz="0" w:space="0" w:color="auto"/>
        <w:right w:val="none" w:sz="0" w:space="0" w:color="auto"/>
      </w:divBdr>
      <w:divsChild>
        <w:div w:id="1594391105">
          <w:marLeft w:val="0"/>
          <w:marRight w:val="0"/>
          <w:marTop w:val="0"/>
          <w:marBottom w:val="0"/>
          <w:divBdr>
            <w:top w:val="none" w:sz="0" w:space="0" w:color="auto"/>
            <w:left w:val="none" w:sz="0" w:space="0" w:color="auto"/>
            <w:bottom w:val="none" w:sz="0" w:space="0" w:color="auto"/>
            <w:right w:val="none" w:sz="0" w:space="0" w:color="auto"/>
          </w:divBdr>
        </w:div>
        <w:div w:id="735476302">
          <w:marLeft w:val="0"/>
          <w:marRight w:val="0"/>
          <w:marTop w:val="0"/>
          <w:marBottom w:val="0"/>
          <w:divBdr>
            <w:top w:val="none" w:sz="0" w:space="0" w:color="auto"/>
            <w:left w:val="none" w:sz="0" w:space="0" w:color="auto"/>
            <w:bottom w:val="none" w:sz="0" w:space="0" w:color="auto"/>
            <w:right w:val="none" w:sz="0" w:space="0" w:color="auto"/>
          </w:divBdr>
        </w:div>
        <w:div w:id="957571129">
          <w:marLeft w:val="0"/>
          <w:marRight w:val="0"/>
          <w:marTop w:val="0"/>
          <w:marBottom w:val="0"/>
          <w:divBdr>
            <w:top w:val="none" w:sz="0" w:space="0" w:color="auto"/>
            <w:left w:val="none" w:sz="0" w:space="0" w:color="auto"/>
            <w:bottom w:val="none" w:sz="0" w:space="0" w:color="auto"/>
            <w:right w:val="none" w:sz="0" w:space="0" w:color="auto"/>
          </w:divBdr>
        </w:div>
        <w:div w:id="352076302">
          <w:marLeft w:val="0"/>
          <w:marRight w:val="0"/>
          <w:marTop w:val="0"/>
          <w:marBottom w:val="0"/>
          <w:divBdr>
            <w:top w:val="none" w:sz="0" w:space="0" w:color="auto"/>
            <w:left w:val="none" w:sz="0" w:space="0" w:color="auto"/>
            <w:bottom w:val="none" w:sz="0" w:space="0" w:color="auto"/>
            <w:right w:val="none" w:sz="0" w:space="0" w:color="auto"/>
          </w:divBdr>
        </w:div>
        <w:div w:id="705064375">
          <w:marLeft w:val="0"/>
          <w:marRight w:val="0"/>
          <w:marTop w:val="0"/>
          <w:marBottom w:val="0"/>
          <w:divBdr>
            <w:top w:val="none" w:sz="0" w:space="0" w:color="auto"/>
            <w:left w:val="none" w:sz="0" w:space="0" w:color="auto"/>
            <w:bottom w:val="none" w:sz="0" w:space="0" w:color="auto"/>
            <w:right w:val="none" w:sz="0" w:space="0" w:color="auto"/>
          </w:divBdr>
        </w:div>
        <w:div w:id="389034818">
          <w:marLeft w:val="0"/>
          <w:marRight w:val="0"/>
          <w:marTop w:val="0"/>
          <w:marBottom w:val="0"/>
          <w:divBdr>
            <w:top w:val="none" w:sz="0" w:space="0" w:color="auto"/>
            <w:left w:val="none" w:sz="0" w:space="0" w:color="auto"/>
            <w:bottom w:val="none" w:sz="0" w:space="0" w:color="auto"/>
            <w:right w:val="none" w:sz="0" w:space="0" w:color="auto"/>
          </w:divBdr>
          <w:divsChild>
            <w:div w:id="287049375">
              <w:marLeft w:val="0"/>
              <w:marRight w:val="0"/>
              <w:marTop w:val="0"/>
              <w:marBottom w:val="0"/>
              <w:divBdr>
                <w:top w:val="none" w:sz="0" w:space="0" w:color="auto"/>
                <w:left w:val="none" w:sz="0" w:space="0" w:color="auto"/>
                <w:bottom w:val="none" w:sz="0" w:space="0" w:color="auto"/>
                <w:right w:val="none" w:sz="0" w:space="0" w:color="auto"/>
              </w:divBdr>
              <w:divsChild>
                <w:div w:id="8993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0350">
          <w:marLeft w:val="0"/>
          <w:marRight w:val="0"/>
          <w:marTop w:val="0"/>
          <w:marBottom w:val="0"/>
          <w:divBdr>
            <w:top w:val="none" w:sz="0" w:space="0" w:color="auto"/>
            <w:left w:val="none" w:sz="0" w:space="0" w:color="auto"/>
            <w:bottom w:val="none" w:sz="0" w:space="0" w:color="auto"/>
            <w:right w:val="none" w:sz="0" w:space="0" w:color="auto"/>
          </w:divBdr>
        </w:div>
        <w:div w:id="19282385">
          <w:marLeft w:val="0"/>
          <w:marRight w:val="0"/>
          <w:marTop w:val="0"/>
          <w:marBottom w:val="0"/>
          <w:divBdr>
            <w:top w:val="none" w:sz="0" w:space="0" w:color="auto"/>
            <w:left w:val="none" w:sz="0" w:space="0" w:color="auto"/>
            <w:bottom w:val="none" w:sz="0" w:space="0" w:color="auto"/>
            <w:right w:val="none" w:sz="0" w:space="0" w:color="auto"/>
          </w:divBdr>
        </w:div>
        <w:div w:id="228004153">
          <w:marLeft w:val="0"/>
          <w:marRight w:val="0"/>
          <w:marTop w:val="0"/>
          <w:marBottom w:val="0"/>
          <w:divBdr>
            <w:top w:val="none" w:sz="0" w:space="0" w:color="auto"/>
            <w:left w:val="none" w:sz="0" w:space="0" w:color="auto"/>
            <w:bottom w:val="none" w:sz="0" w:space="0" w:color="auto"/>
            <w:right w:val="none" w:sz="0" w:space="0" w:color="auto"/>
          </w:divBdr>
        </w:div>
        <w:div w:id="1454860741">
          <w:marLeft w:val="0"/>
          <w:marRight w:val="0"/>
          <w:marTop w:val="0"/>
          <w:marBottom w:val="0"/>
          <w:divBdr>
            <w:top w:val="none" w:sz="0" w:space="0" w:color="auto"/>
            <w:left w:val="none" w:sz="0" w:space="0" w:color="auto"/>
            <w:bottom w:val="none" w:sz="0" w:space="0" w:color="auto"/>
            <w:right w:val="none" w:sz="0" w:space="0" w:color="auto"/>
          </w:divBdr>
        </w:div>
        <w:div w:id="1440948239">
          <w:marLeft w:val="0"/>
          <w:marRight w:val="0"/>
          <w:marTop w:val="0"/>
          <w:marBottom w:val="0"/>
          <w:divBdr>
            <w:top w:val="none" w:sz="0" w:space="0" w:color="auto"/>
            <w:left w:val="none" w:sz="0" w:space="0" w:color="auto"/>
            <w:bottom w:val="none" w:sz="0" w:space="0" w:color="auto"/>
            <w:right w:val="none" w:sz="0" w:space="0" w:color="auto"/>
          </w:divBdr>
        </w:div>
        <w:div w:id="2086149801">
          <w:marLeft w:val="0"/>
          <w:marRight w:val="0"/>
          <w:marTop w:val="0"/>
          <w:marBottom w:val="0"/>
          <w:divBdr>
            <w:top w:val="none" w:sz="0" w:space="0" w:color="auto"/>
            <w:left w:val="none" w:sz="0" w:space="0" w:color="auto"/>
            <w:bottom w:val="none" w:sz="0" w:space="0" w:color="auto"/>
            <w:right w:val="none" w:sz="0" w:space="0" w:color="auto"/>
          </w:divBdr>
        </w:div>
        <w:div w:id="1477797512">
          <w:marLeft w:val="0"/>
          <w:marRight w:val="0"/>
          <w:marTop w:val="0"/>
          <w:marBottom w:val="0"/>
          <w:divBdr>
            <w:top w:val="none" w:sz="0" w:space="0" w:color="auto"/>
            <w:left w:val="none" w:sz="0" w:space="0" w:color="auto"/>
            <w:bottom w:val="none" w:sz="0" w:space="0" w:color="auto"/>
            <w:right w:val="none" w:sz="0" w:space="0" w:color="auto"/>
          </w:divBdr>
        </w:div>
        <w:div w:id="592662787">
          <w:marLeft w:val="0"/>
          <w:marRight w:val="0"/>
          <w:marTop w:val="0"/>
          <w:marBottom w:val="0"/>
          <w:divBdr>
            <w:top w:val="none" w:sz="0" w:space="0" w:color="auto"/>
            <w:left w:val="none" w:sz="0" w:space="0" w:color="auto"/>
            <w:bottom w:val="none" w:sz="0" w:space="0" w:color="auto"/>
            <w:right w:val="none" w:sz="0" w:space="0" w:color="auto"/>
          </w:divBdr>
        </w:div>
        <w:div w:id="2072581086">
          <w:marLeft w:val="0"/>
          <w:marRight w:val="0"/>
          <w:marTop w:val="0"/>
          <w:marBottom w:val="0"/>
          <w:divBdr>
            <w:top w:val="none" w:sz="0" w:space="0" w:color="auto"/>
            <w:left w:val="none" w:sz="0" w:space="0" w:color="auto"/>
            <w:bottom w:val="none" w:sz="0" w:space="0" w:color="auto"/>
            <w:right w:val="none" w:sz="0" w:space="0" w:color="auto"/>
          </w:divBdr>
        </w:div>
        <w:div w:id="1067608187">
          <w:marLeft w:val="0"/>
          <w:marRight w:val="0"/>
          <w:marTop w:val="0"/>
          <w:marBottom w:val="0"/>
          <w:divBdr>
            <w:top w:val="none" w:sz="0" w:space="0" w:color="auto"/>
            <w:left w:val="none" w:sz="0" w:space="0" w:color="auto"/>
            <w:bottom w:val="none" w:sz="0" w:space="0" w:color="auto"/>
            <w:right w:val="none" w:sz="0" w:space="0" w:color="auto"/>
          </w:divBdr>
        </w:div>
        <w:div w:id="1588538395">
          <w:marLeft w:val="0"/>
          <w:marRight w:val="0"/>
          <w:marTop w:val="0"/>
          <w:marBottom w:val="0"/>
          <w:divBdr>
            <w:top w:val="none" w:sz="0" w:space="0" w:color="auto"/>
            <w:left w:val="none" w:sz="0" w:space="0" w:color="auto"/>
            <w:bottom w:val="none" w:sz="0" w:space="0" w:color="auto"/>
            <w:right w:val="none" w:sz="0" w:space="0" w:color="auto"/>
          </w:divBdr>
        </w:div>
        <w:div w:id="238757021">
          <w:marLeft w:val="0"/>
          <w:marRight w:val="0"/>
          <w:marTop w:val="0"/>
          <w:marBottom w:val="0"/>
          <w:divBdr>
            <w:top w:val="none" w:sz="0" w:space="0" w:color="auto"/>
            <w:left w:val="none" w:sz="0" w:space="0" w:color="auto"/>
            <w:bottom w:val="none" w:sz="0" w:space="0" w:color="auto"/>
            <w:right w:val="none" w:sz="0" w:space="0" w:color="auto"/>
          </w:divBdr>
        </w:div>
        <w:div w:id="797070608">
          <w:marLeft w:val="0"/>
          <w:marRight w:val="0"/>
          <w:marTop w:val="0"/>
          <w:marBottom w:val="0"/>
          <w:divBdr>
            <w:top w:val="none" w:sz="0" w:space="0" w:color="auto"/>
            <w:left w:val="none" w:sz="0" w:space="0" w:color="auto"/>
            <w:bottom w:val="none" w:sz="0" w:space="0" w:color="auto"/>
            <w:right w:val="none" w:sz="0" w:space="0" w:color="auto"/>
          </w:divBdr>
        </w:div>
        <w:div w:id="1943679870">
          <w:marLeft w:val="0"/>
          <w:marRight w:val="0"/>
          <w:marTop w:val="0"/>
          <w:marBottom w:val="0"/>
          <w:divBdr>
            <w:top w:val="none" w:sz="0" w:space="0" w:color="auto"/>
            <w:left w:val="none" w:sz="0" w:space="0" w:color="auto"/>
            <w:bottom w:val="none" w:sz="0" w:space="0" w:color="auto"/>
            <w:right w:val="none" w:sz="0" w:space="0" w:color="auto"/>
          </w:divBdr>
        </w:div>
        <w:div w:id="2008052222">
          <w:marLeft w:val="0"/>
          <w:marRight w:val="0"/>
          <w:marTop w:val="0"/>
          <w:marBottom w:val="0"/>
          <w:divBdr>
            <w:top w:val="none" w:sz="0" w:space="0" w:color="auto"/>
            <w:left w:val="none" w:sz="0" w:space="0" w:color="auto"/>
            <w:bottom w:val="none" w:sz="0" w:space="0" w:color="auto"/>
            <w:right w:val="none" w:sz="0" w:space="0" w:color="auto"/>
          </w:divBdr>
        </w:div>
        <w:div w:id="996878687">
          <w:marLeft w:val="0"/>
          <w:marRight w:val="0"/>
          <w:marTop w:val="0"/>
          <w:marBottom w:val="0"/>
          <w:divBdr>
            <w:top w:val="none" w:sz="0" w:space="0" w:color="auto"/>
            <w:left w:val="none" w:sz="0" w:space="0" w:color="auto"/>
            <w:bottom w:val="none" w:sz="0" w:space="0" w:color="auto"/>
            <w:right w:val="none" w:sz="0" w:space="0" w:color="auto"/>
          </w:divBdr>
        </w:div>
      </w:divsChild>
    </w:div>
    <w:div w:id="994526941">
      <w:bodyDiv w:val="1"/>
      <w:marLeft w:val="0"/>
      <w:marRight w:val="0"/>
      <w:marTop w:val="0"/>
      <w:marBottom w:val="0"/>
      <w:divBdr>
        <w:top w:val="none" w:sz="0" w:space="0" w:color="auto"/>
        <w:left w:val="none" w:sz="0" w:space="0" w:color="auto"/>
        <w:bottom w:val="none" w:sz="0" w:space="0" w:color="auto"/>
        <w:right w:val="none" w:sz="0" w:space="0" w:color="auto"/>
      </w:divBdr>
    </w:div>
    <w:div w:id="1205606687">
      <w:bodyDiv w:val="1"/>
      <w:marLeft w:val="0"/>
      <w:marRight w:val="0"/>
      <w:marTop w:val="0"/>
      <w:marBottom w:val="0"/>
      <w:divBdr>
        <w:top w:val="none" w:sz="0" w:space="0" w:color="auto"/>
        <w:left w:val="none" w:sz="0" w:space="0" w:color="auto"/>
        <w:bottom w:val="none" w:sz="0" w:space="0" w:color="auto"/>
        <w:right w:val="none" w:sz="0" w:space="0" w:color="auto"/>
      </w:divBdr>
      <w:divsChild>
        <w:div w:id="1766345076">
          <w:marLeft w:val="0"/>
          <w:marRight w:val="0"/>
          <w:marTop w:val="0"/>
          <w:marBottom w:val="0"/>
          <w:divBdr>
            <w:top w:val="none" w:sz="0" w:space="0" w:color="auto"/>
            <w:left w:val="none" w:sz="0" w:space="0" w:color="auto"/>
            <w:bottom w:val="none" w:sz="0" w:space="0" w:color="auto"/>
            <w:right w:val="none" w:sz="0" w:space="0" w:color="auto"/>
          </w:divBdr>
        </w:div>
        <w:div w:id="34742437">
          <w:marLeft w:val="0"/>
          <w:marRight w:val="0"/>
          <w:marTop w:val="0"/>
          <w:marBottom w:val="0"/>
          <w:divBdr>
            <w:top w:val="none" w:sz="0" w:space="0" w:color="auto"/>
            <w:left w:val="none" w:sz="0" w:space="0" w:color="auto"/>
            <w:bottom w:val="none" w:sz="0" w:space="0" w:color="auto"/>
            <w:right w:val="none" w:sz="0" w:space="0" w:color="auto"/>
          </w:divBdr>
        </w:div>
        <w:div w:id="1796437371">
          <w:marLeft w:val="0"/>
          <w:marRight w:val="0"/>
          <w:marTop w:val="0"/>
          <w:marBottom w:val="0"/>
          <w:divBdr>
            <w:top w:val="none" w:sz="0" w:space="0" w:color="auto"/>
            <w:left w:val="none" w:sz="0" w:space="0" w:color="auto"/>
            <w:bottom w:val="none" w:sz="0" w:space="0" w:color="auto"/>
            <w:right w:val="none" w:sz="0" w:space="0" w:color="auto"/>
          </w:divBdr>
        </w:div>
        <w:div w:id="148864108">
          <w:marLeft w:val="0"/>
          <w:marRight w:val="0"/>
          <w:marTop w:val="0"/>
          <w:marBottom w:val="0"/>
          <w:divBdr>
            <w:top w:val="none" w:sz="0" w:space="0" w:color="auto"/>
            <w:left w:val="none" w:sz="0" w:space="0" w:color="auto"/>
            <w:bottom w:val="none" w:sz="0" w:space="0" w:color="auto"/>
            <w:right w:val="none" w:sz="0" w:space="0" w:color="auto"/>
          </w:divBdr>
        </w:div>
        <w:div w:id="1780181642">
          <w:marLeft w:val="0"/>
          <w:marRight w:val="0"/>
          <w:marTop w:val="0"/>
          <w:marBottom w:val="0"/>
          <w:divBdr>
            <w:top w:val="none" w:sz="0" w:space="0" w:color="auto"/>
            <w:left w:val="none" w:sz="0" w:space="0" w:color="auto"/>
            <w:bottom w:val="none" w:sz="0" w:space="0" w:color="auto"/>
            <w:right w:val="none" w:sz="0" w:space="0" w:color="auto"/>
          </w:divBdr>
        </w:div>
        <w:div w:id="875970963">
          <w:marLeft w:val="0"/>
          <w:marRight w:val="0"/>
          <w:marTop w:val="0"/>
          <w:marBottom w:val="0"/>
          <w:divBdr>
            <w:top w:val="none" w:sz="0" w:space="0" w:color="auto"/>
            <w:left w:val="none" w:sz="0" w:space="0" w:color="auto"/>
            <w:bottom w:val="none" w:sz="0" w:space="0" w:color="auto"/>
            <w:right w:val="none" w:sz="0" w:space="0" w:color="auto"/>
          </w:divBdr>
          <w:divsChild>
            <w:div w:id="823200046">
              <w:marLeft w:val="0"/>
              <w:marRight w:val="0"/>
              <w:marTop w:val="0"/>
              <w:marBottom w:val="0"/>
              <w:divBdr>
                <w:top w:val="none" w:sz="0" w:space="0" w:color="auto"/>
                <w:left w:val="none" w:sz="0" w:space="0" w:color="auto"/>
                <w:bottom w:val="none" w:sz="0" w:space="0" w:color="auto"/>
                <w:right w:val="none" w:sz="0" w:space="0" w:color="auto"/>
              </w:divBdr>
              <w:divsChild>
                <w:div w:id="14753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12375">
          <w:marLeft w:val="0"/>
          <w:marRight w:val="0"/>
          <w:marTop w:val="0"/>
          <w:marBottom w:val="0"/>
          <w:divBdr>
            <w:top w:val="none" w:sz="0" w:space="0" w:color="auto"/>
            <w:left w:val="none" w:sz="0" w:space="0" w:color="auto"/>
            <w:bottom w:val="none" w:sz="0" w:space="0" w:color="auto"/>
            <w:right w:val="none" w:sz="0" w:space="0" w:color="auto"/>
          </w:divBdr>
        </w:div>
        <w:div w:id="889850016">
          <w:marLeft w:val="0"/>
          <w:marRight w:val="0"/>
          <w:marTop w:val="0"/>
          <w:marBottom w:val="0"/>
          <w:divBdr>
            <w:top w:val="none" w:sz="0" w:space="0" w:color="auto"/>
            <w:left w:val="none" w:sz="0" w:space="0" w:color="auto"/>
            <w:bottom w:val="none" w:sz="0" w:space="0" w:color="auto"/>
            <w:right w:val="none" w:sz="0" w:space="0" w:color="auto"/>
          </w:divBdr>
        </w:div>
        <w:div w:id="1942838287">
          <w:marLeft w:val="0"/>
          <w:marRight w:val="0"/>
          <w:marTop w:val="0"/>
          <w:marBottom w:val="0"/>
          <w:divBdr>
            <w:top w:val="none" w:sz="0" w:space="0" w:color="auto"/>
            <w:left w:val="none" w:sz="0" w:space="0" w:color="auto"/>
            <w:bottom w:val="none" w:sz="0" w:space="0" w:color="auto"/>
            <w:right w:val="none" w:sz="0" w:space="0" w:color="auto"/>
          </w:divBdr>
        </w:div>
        <w:div w:id="1136526965">
          <w:marLeft w:val="0"/>
          <w:marRight w:val="0"/>
          <w:marTop w:val="0"/>
          <w:marBottom w:val="0"/>
          <w:divBdr>
            <w:top w:val="none" w:sz="0" w:space="0" w:color="auto"/>
            <w:left w:val="none" w:sz="0" w:space="0" w:color="auto"/>
            <w:bottom w:val="none" w:sz="0" w:space="0" w:color="auto"/>
            <w:right w:val="none" w:sz="0" w:space="0" w:color="auto"/>
          </w:divBdr>
        </w:div>
        <w:div w:id="1003774411">
          <w:marLeft w:val="0"/>
          <w:marRight w:val="0"/>
          <w:marTop w:val="0"/>
          <w:marBottom w:val="0"/>
          <w:divBdr>
            <w:top w:val="none" w:sz="0" w:space="0" w:color="auto"/>
            <w:left w:val="none" w:sz="0" w:space="0" w:color="auto"/>
            <w:bottom w:val="none" w:sz="0" w:space="0" w:color="auto"/>
            <w:right w:val="none" w:sz="0" w:space="0" w:color="auto"/>
          </w:divBdr>
        </w:div>
        <w:div w:id="1141461199">
          <w:marLeft w:val="0"/>
          <w:marRight w:val="0"/>
          <w:marTop w:val="0"/>
          <w:marBottom w:val="0"/>
          <w:divBdr>
            <w:top w:val="none" w:sz="0" w:space="0" w:color="auto"/>
            <w:left w:val="none" w:sz="0" w:space="0" w:color="auto"/>
            <w:bottom w:val="none" w:sz="0" w:space="0" w:color="auto"/>
            <w:right w:val="none" w:sz="0" w:space="0" w:color="auto"/>
          </w:divBdr>
        </w:div>
        <w:div w:id="1134761445">
          <w:marLeft w:val="0"/>
          <w:marRight w:val="0"/>
          <w:marTop w:val="0"/>
          <w:marBottom w:val="0"/>
          <w:divBdr>
            <w:top w:val="none" w:sz="0" w:space="0" w:color="auto"/>
            <w:left w:val="none" w:sz="0" w:space="0" w:color="auto"/>
            <w:bottom w:val="none" w:sz="0" w:space="0" w:color="auto"/>
            <w:right w:val="none" w:sz="0" w:space="0" w:color="auto"/>
          </w:divBdr>
        </w:div>
        <w:div w:id="87235658">
          <w:marLeft w:val="0"/>
          <w:marRight w:val="0"/>
          <w:marTop w:val="0"/>
          <w:marBottom w:val="0"/>
          <w:divBdr>
            <w:top w:val="none" w:sz="0" w:space="0" w:color="auto"/>
            <w:left w:val="none" w:sz="0" w:space="0" w:color="auto"/>
            <w:bottom w:val="none" w:sz="0" w:space="0" w:color="auto"/>
            <w:right w:val="none" w:sz="0" w:space="0" w:color="auto"/>
          </w:divBdr>
        </w:div>
        <w:div w:id="1196429817">
          <w:marLeft w:val="0"/>
          <w:marRight w:val="0"/>
          <w:marTop w:val="0"/>
          <w:marBottom w:val="0"/>
          <w:divBdr>
            <w:top w:val="none" w:sz="0" w:space="0" w:color="auto"/>
            <w:left w:val="none" w:sz="0" w:space="0" w:color="auto"/>
            <w:bottom w:val="none" w:sz="0" w:space="0" w:color="auto"/>
            <w:right w:val="none" w:sz="0" w:space="0" w:color="auto"/>
          </w:divBdr>
        </w:div>
        <w:div w:id="406997157">
          <w:marLeft w:val="0"/>
          <w:marRight w:val="0"/>
          <w:marTop w:val="0"/>
          <w:marBottom w:val="0"/>
          <w:divBdr>
            <w:top w:val="none" w:sz="0" w:space="0" w:color="auto"/>
            <w:left w:val="none" w:sz="0" w:space="0" w:color="auto"/>
            <w:bottom w:val="none" w:sz="0" w:space="0" w:color="auto"/>
            <w:right w:val="none" w:sz="0" w:space="0" w:color="auto"/>
          </w:divBdr>
        </w:div>
        <w:div w:id="132257710">
          <w:marLeft w:val="0"/>
          <w:marRight w:val="0"/>
          <w:marTop w:val="0"/>
          <w:marBottom w:val="0"/>
          <w:divBdr>
            <w:top w:val="none" w:sz="0" w:space="0" w:color="auto"/>
            <w:left w:val="none" w:sz="0" w:space="0" w:color="auto"/>
            <w:bottom w:val="none" w:sz="0" w:space="0" w:color="auto"/>
            <w:right w:val="none" w:sz="0" w:space="0" w:color="auto"/>
          </w:divBdr>
        </w:div>
        <w:div w:id="1922718817">
          <w:marLeft w:val="0"/>
          <w:marRight w:val="0"/>
          <w:marTop w:val="0"/>
          <w:marBottom w:val="0"/>
          <w:divBdr>
            <w:top w:val="none" w:sz="0" w:space="0" w:color="auto"/>
            <w:left w:val="none" w:sz="0" w:space="0" w:color="auto"/>
            <w:bottom w:val="none" w:sz="0" w:space="0" w:color="auto"/>
            <w:right w:val="none" w:sz="0" w:space="0" w:color="auto"/>
          </w:divBdr>
        </w:div>
        <w:div w:id="646587236">
          <w:marLeft w:val="0"/>
          <w:marRight w:val="0"/>
          <w:marTop w:val="0"/>
          <w:marBottom w:val="0"/>
          <w:divBdr>
            <w:top w:val="none" w:sz="0" w:space="0" w:color="auto"/>
            <w:left w:val="none" w:sz="0" w:space="0" w:color="auto"/>
            <w:bottom w:val="none" w:sz="0" w:space="0" w:color="auto"/>
            <w:right w:val="none" w:sz="0" w:space="0" w:color="auto"/>
          </w:divBdr>
        </w:div>
        <w:div w:id="1182623066">
          <w:marLeft w:val="0"/>
          <w:marRight w:val="0"/>
          <w:marTop w:val="0"/>
          <w:marBottom w:val="0"/>
          <w:divBdr>
            <w:top w:val="none" w:sz="0" w:space="0" w:color="auto"/>
            <w:left w:val="none" w:sz="0" w:space="0" w:color="auto"/>
            <w:bottom w:val="none" w:sz="0" w:space="0" w:color="auto"/>
            <w:right w:val="none" w:sz="0" w:space="0" w:color="auto"/>
          </w:divBdr>
        </w:div>
        <w:div w:id="1473717489">
          <w:marLeft w:val="0"/>
          <w:marRight w:val="0"/>
          <w:marTop w:val="0"/>
          <w:marBottom w:val="0"/>
          <w:divBdr>
            <w:top w:val="none" w:sz="0" w:space="0" w:color="auto"/>
            <w:left w:val="none" w:sz="0" w:space="0" w:color="auto"/>
            <w:bottom w:val="none" w:sz="0" w:space="0" w:color="auto"/>
            <w:right w:val="none" w:sz="0" w:space="0" w:color="auto"/>
          </w:divBdr>
        </w:div>
        <w:div w:id="900404854">
          <w:marLeft w:val="0"/>
          <w:marRight w:val="0"/>
          <w:marTop w:val="0"/>
          <w:marBottom w:val="0"/>
          <w:divBdr>
            <w:top w:val="none" w:sz="0" w:space="0" w:color="auto"/>
            <w:left w:val="none" w:sz="0" w:space="0" w:color="auto"/>
            <w:bottom w:val="none" w:sz="0" w:space="0" w:color="auto"/>
            <w:right w:val="none" w:sz="0" w:space="0" w:color="auto"/>
          </w:divBdr>
        </w:div>
      </w:divsChild>
    </w:div>
    <w:div w:id="1206135974">
      <w:bodyDiv w:val="1"/>
      <w:marLeft w:val="0"/>
      <w:marRight w:val="0"/>
      <w:marTop w:val="0"/>
      <w:marBottom w:val="0"/>
      <w:divBdr>
        <w:top w:val="none" w:sz="0" w:space="0" w:color="auto"/>
        <w:left w:val="none" w:sz="0" w:space="0" w:color="auto"/>
        <w:bottom w:val="none" w:sz="0" w:space="0" w:color="auto"/>
        <w:right w:val="none" w:sz="0" w:space="0" w:color="auto"/>
      </w:divBdr>
    </w:div>
    <w:div w:id="1544057648">
      <w:bodyDiv w:val="1"/>
      <w:marLeft w:val="0"/>
      <w:marRight w:val="0"/>
      <w:marTop w:val="0"/>
      <w:marBottom w:val="0"/>
      <w:divBdr>
        <w:top w:val="none" w:sz="0" w:space="0" w:color="auto"/>
        <w:left w:val="none" w:sz="0" w:space="0" w:color="auto"/>
        <w:bottom w:val="none" w:sz="0" w:space="0" w:color="auto"/>
        <w:right w:val="none" w:sz="0" w:space="0" w:color="auto"/>
      </w:divBdr>
      <w:divsChild>
        <w:div w:id="728189947">
          <w:marLeft w:val="0"/>
          <w:marRight w:val="0"/>
          <w:marTop w:val="0"/>
          <w:marBottom w:val="0"/>
          <w:divBdr>
            <w:top w:val="none" w:sz="0" w:space="0" w:color="auto"/>
            <w:left w:val="none" w:sz="0" w:space="0" w:color="auto"/>
            <w:bottom w:val="none" w:sz="0" w:space="0" w:color="auto"/>
            <w:right w:val="none" w:sz="0" w:space="0" w:color="auto"/>
          </w:divBdr>
        </w:div>
        <w:div w:id="3940135">
          <w:marLeft w:val="0"/>
          <w:marRight w:val="0"/>
          <w:marTop w:val="0"/>
          <w:marBottom w:val="0"/>
          <w:divBdr>
            <w:top w:val="none" w:sz="0" w:space="0" w:color="auto"/>
            <w:left w:val="none" w:sz="0" w:space="0" w:color="auto"/>
            <w:bottom w:val="none" w:sz="0" w:space="0" w:color="auto"/>
            <w:right w:val="none" w:sz="0" w:space="0" w:color="auto"/>
          </w:divBdr>
        </w:div>
        <w:div w:id="836266528">
          <w:marLeft w:val="0"/>
          <w:marRight w:val="0"/>
          <w:marTop w:val="0"/>
          <w:marBottom w:val="0"/>
          <w:divBdr>
            <w:top w:val="none" w:sz="0" w:space="0" w:color="auto"/>
            <w:left w:val="none" w:sz="0" w:space="0" w:color="auto"/>
            <w:bottom w:val="none" w:sz="0" w:space="0" w:color="auto"/>
            <w:right w:val="none" w:sz="0" w:space="0" w:color="auto"/>
          </w:divBdr>
        </w:div>
        <w:div w:id="1941376239">
          <w:marLeft w:val="0"/>
          <w:marRight w:val="0"/>
          <w:marTop w:val="0"/>
          <w:marBottom w:val="0"/>
          <w:divBdr>
            <w:top w:val="none" w:sz="0" w:space="0" w:color="auto"/>
            <w:left w:val="none" w:sz="0" w:space="0" w:color="auto"/>
            <w:bottom w:val="none" w:sz="0" w:space="0" w:color="auto"/>
            <w:right w:val="none" w:sz="0" w:space="0" w:color="auto"/>
          </w:divBdr>
          <w:divsChild>
            <w:div w:id="1225751667">
              <w:marLeft w:val="0"/>
              <w:marRight w:val="0"/>
              <w:marTop w:val="0"/>
              <w:marBottom w:val="0"/>
              <w:divBdr>
                <w:top w:val="none" w:sz="0" w:space="0" w:color="auto"/>
                <w:left w:val="none" w:sz="0" w:space="0" w:color="auto"/>
                <w:bottom w:val="none" w:sz="0" w:space="0" w:color="auto"/>
                <w:right w:val="none" w:sz="0" w:space="0" w:color="auto"/>
              </w:divBdr>
              <w:divsChild>
                <w:div w:id="18731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73635">
          <w:marLeft w:val="0"/>
          <w:marRight w:val="0"/>
          <w:marTop w:val="0"/>
          <w:marBottom w:val="0"/>
          <w:divBdr>
            <w:top w:val="none" w:sz="0" w:space="0" w:color="auto"/>
            <w:left w:val="none" w:sz="0" w:space="0" w:color="auto"/>
            <w:bottom w:val="none" w:sz="0" w:space="0" w:color="auto"/>
            <w:right w:val="none" w:sz="0" w:space="0" w:color="auto"/>
          </w:divBdr>
        </w:div>
        <w:div w:id="267200795">
          <w:marLeft w:val="0"/>
          <w:marRight w:val="0"/>
          <w:marTop w:val="0"/>
          <w:marBottom w:val="0"/>
          <w:divBdr>
            <w:top w:val="none" w:sz="0" w:space="0" w:color="auto"/>
            <w:left w:val="none" w:sz="0" w:space="0" w:color="auto"/>
            <w:bottom w:val="none" w:sz="0" w:space="0" w:color="auto"/>
            <w:right w:val="none" w:sz="0" w:space="0" w:color="auto"/>
          </w:divBdr>
          <w:divsChild>
            <w:div w:id="662855490">
              <w:marLeft w:val="0"/>
              <w:marRight w:val="0"/>
              <w:marTop w:val="0"/>
              <w:marBottom w:val="0"/>
              <w:divBdr>
                <w:top w:val="none" w:sz="0" w:space="0" w:color="auto"/>
                <w:left w:val="none" w:sz="0" w:space="0" w:color="auto"/>
                <w:bottom w:val="none" w:sz="0" w:space="0" w:color="auto"/>
                <w:right w:val="none" w:sz="0" w:space="0" w:color="auto"/>
              </w:divBdr>
              <w:divsChild>
                <w:div w:id="1921794187">
                  <w:marLeft w:val="0"/>
                  <w:marRight w:val="0"/>
                  <w:marTop w:val="0"/>
                  <w:marBottom w:val="0"/>
                  <w:divBdr>
                    <w:top w:val="none" w:sz="0" w:space="0" w:color="auto"/>
                    <w:left w:val="none" w:sz="0" w:space="0" w:color="auto"/>
                    <w:bottom w:val="none" w:sz="0" w:space="0" w:color="auto"/>
                    <w:right w:val="none" w:sz="0" w:space="0" w:color="auto"/>
                  </w:divBdr>
                  <w:divsChild>
                    <w:div w:id="20241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539065">
          <w:marLeft w:val="0"/>
          <w:marRight w:val="0"/>
          <w:marTop w:val="0"/>
          <w:marBottom w:val="0"/>
          <w:divBdr>
            <w:top w:val="none" w:sz="0" w:space="0" w:color="auto"/>
            <w:left w:val="none" w:sz="0" w:space="0" w:color="auto"/>
            <w:bottom w:val="none" w:sz="0" w:space="0" w:color="auto"/>
            <w:right w:val="none" w:sz="0" w:space="0" w:color="auto"/>
          </w:divBdr>
        </w:div>
        <w:div w:id="1448700654">
          <w:marLeft w:val="0"/>
          <w:marRight w:val="0"/>
          <w:marTop w:val="0"/>
          <w:marBottom w:val="0"/>
          <w:divBdr>
            <w:top w:val="none" w:sz="0" w:space="0" w:color="auto"/>
            <w:left w:val="none" w:sz="0" w:space="0" w:color="auto"/>
            <w:bottom w:val="none" w:sz="0" w:space="0" w:color="auto"/>
            <w:right w:val="none" w:sz="0" w:space="0" w:color="auto"/>
          </w:divBdr>
        </w:div>
      </w:divsChild>
    </w:div>
    <w:div w:id="1550217775">
      <w:bodyDiv w:val="1"/>
      <w:marLeft w:val="0"/>
      <w:marRight w:val="0"/>
      <w:marTop w:val="0"/>
      <w:marBottom w:val="0"/>
      <w:divBdr>
        <w:top w:val="none" w:sz="0" w:space="0" w:color="auto"/>
        <w:left w:val="none" w:sz="0" w:space="0" w:color="auto"/>
        <w:bottom w:val="none" w:sz="0" w:space="0" w:color="auto"/>
        <w:right w:val="none" w:sz="0" w:space="0" w:color="auto"/>
      </w:divBdr>
    </w:div>
    <w:div w:id="1568683382">
      <w:bodyDiv w:val="1"/>
      <w:marLeft w:val="0"/>
      <w:marRight w:val="0"/>
      <w:marTop w:val="0"/>
      <w:marBottom w:val="0"/>
      <w:divBdr>
        <w:top w:val="none" w:sz="0" w:space="0" w:color="auto"/>
        <w:left w:val="none" w:sz="0" w:space="0" w:color="auto"/>
        <w:bottom w:val="none" w:sz="0" w:space="0" w:color="auto"/>
        <w:right w:val="none" w:sz="0" w:space="0" w:color="auto"/>
      </w:divBdr>
    </w:div>
    <w:div w:id="2039962097">
      <w:bodyDiv w:val="1"/>
      <w:marLeft w:val="0"/>
      <w:marRight w:val="0"/>
      <w:marTop w:val="0"/>
      <w:marBottom w:val="0"/>
      <w:divBdr>
        <w:top w:val="none" w:sz="0" w:space="0" w:color="auto"/>
        <w:left w:val="none" w:sz="0" w:space="0" w:color="auto"/>
        <w:bottom w:val="none" w:sz="0" w:space="0" w:color="auto"/>
        <w:right w:val="none" w:sz="0" w:space="0" w:color="auto"/>
      </w:divBdr>
    </w:div>
    <w:div w:id="205438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5</Pages>
  <Words>2161</Words>
  <Characters>12321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Безродная Н. В.</dc:creator>
  <cp:keywords/>
  <dc:description/>
  <cp:lastModifiedBy>Гончар Елена Дмитриевна</cp:lastModifiedBy>
  <cp:revision>14</cp:revision>
  <cp:lastPrinted>2026-01-26T09:57:00Z</cp:lastPrinted>
  <dcterms:created xsi:type="dcterms:W3CDTF">2025-12-16T09:11:00Z</dcterms:created>
  <dcterms:modified xsi:type="dcterms:W3CDTF">2026-02-06T12:34:00Z</dcterms:modified>
</cp:coreProperties>
</file>