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E55" w:rsidRPr="00EA30A4" w:rsidRDefault="00C27E55" w:rsidP="00C27E55">
      <w:pPr>
        <w:jc w:val="center"/>
        <w:rPr>
          <w:sz w:val="28"/>
          <w:szCs w:val="28"/>
        </w:rPr>
      </w:pPr>
      <w:bookmarkStart w:id="0" w:name="_GoBack"/>
      <w:r w:rsidRPr="00EA30A4">
        <w:rPr>
          <w:sz w:val="28"/>
          <w:szCs w:val="28"/>
        </w:rPr>
        <w:t>Сравнительная таблица</w:t>
      </w:r>
    </w:p>
    <w:p w:rsidR="00C27E55" w:rsidRPr="003C33BA" w:rsidRDefault="00C27E55" w:rsidP="00C27E55">
      <w:pPr>
        <w:jc w:val="center"/>
        <w:rPr>
          <w:sz w:val="28"/>
          <w:szCs w:val="28"/>
        </w:rPr>
      </w:pPr>
      <w:r w:rsidRPr="003C33BA">
        <w:rPr>
          <w:sz w:val="28"/>
          <w:szCs w:val="28"/>
        </w:rPr>
        <w:t xml:space="preserve">к проекту Закона Приднестровской Молдавской Республики </w:t>
      </w:r>
      <w:r w:rsidRPr="003C33BA">
        <w:rPr>
          <w:sz w:val="28"/>
          <w:szCs w:val="28"/>
        </w:rPr>
        <w:br/>
        <w:t>«О внесении изменений в Закон Приднестровской Молдавской Республики «</w:t>
      </w:r>
      <w:r w:rsidRPr="003C33BA">
        <w:rPr>
          <w:rFonts w:eastAsia="Calibri"/>
          <w:sz w:val="28"/>
          <w:szCs w:val="28"/>
        </w:rPr>
        <w:t>Об утверждении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p>
    <w:p w:rsidR="00C27E55" w:rsidRPr="00474D1B" w:rsidRDefault="00C27E55" w:rsidP="00C27E55">
      <w:pPr>
        <w:jc w:val="center"/>
        <w:rPr>
          <w:sz w:val="28"/>
          <w:szCs w:val="28"/>
          <w:highlight w:val="yellow"/>
        </w:rPr>
      </w:pPr>
    </w:p>
    <w:tbl>
      <w:tblPr>
        <w:tblStyle w:val="ad"/>
        <w:tblW w:w="10916" w:type="dxa"/>
        <w:tblInd w:w="-998" w:type="dxa"/>
        <w:tblLook w:val="04A0" w:firstRow="1" w:lastRow="0" w:firstColumn="1" w:lastColumn="0" w:noHBand="0" w:noVBand="1"/>
      </w:tblPr>
      <w:tblGrid>
        <w:gridCol w:w="5412"/>
        <w:gridCol w:w="5504"/>
      </w:tblGrid>
      <w:tr w:rsidR="00C27E55" w:rsidRPr="00BF1B53" w:rsidTr="004C2052">
        <w:trPr>
          <w:trHeight w:val="433"/>
        </w:trPr>
        <w:tc>
          <w:tcPr>
            <w:tcW w:w="5529" w:type="dxa"/>
          </w:tcPr>
          <w:p w:rsidR="00C27E55" w:rsidRPr="00BF1B53" w:rsidRDefault="00C27E55" w:rsidP="004C2052">
            <w:pPr>
              <w:jc w:val="center"/>
              <w:rPr>
                <w:szCs w:val="24"/>
              </w:rPr>
            </w:pPr>
            <w:r w:rsidRPr="00BF1B53">
              <w:rPr>
                <w:szCs w:val="24"/>
              </w:rPr>
              <w:t>Действующая редакция паспорта программы</w:t>
            </w:r>
          </w:p>
          <w:p w:rsidR="00C27E55" w:rsidRPr="00BF1B53" w:rsidRDefault="00C27E55" w:rsidP="004C2052">
            <w:pPr>
              <w:jc w:val="center"/>
              <w:rPr>
                <w:szCs w:val="24"/>
                <w:highlight w:val="yellow"/>
              </w:rPr>
            </w:pPr>
          </w:p>
        </w:tc>
        <w:tc>
          <w:tcPr>
            <w:tcW w:w="5387" w:type="dxa"/>
          </w:tcPr>
          <w:p w:rsidR="00C27E55" w:rsidRPr="00BF1B53" w:rsidRDefault="00C27E55" w:rsidP="004C2052">
            <w:pPr>
              <w:jc w:val="center"/>
              <w:rPr>
                <w:szCs w:val="24"/>
              </w:rPr>
            </w:pPr>
            <w:r w:rsidRPr="00BF1B53">
              <w:rPr>
                <w:szCs w:val="24"/>
              </w:rPr>
              <w:t>Предлагаемая редакция паспорта программы</w:t>
            </w:r>
          </w:p>
          <w:p w:rsidR="00C27E55" w:rsidRPr="00BF1B53" w:rsidRDefault="00C27E55" w:rsidP="004C2052">
            <w:pPr>
              <w:jc w:val="center"/>
              <w:rPr>
                <w:szCs w:val="24"/>
                <w:highlight w:val="yellow"/>
              </w:rPr>
            </w:pPr>
          </w:p>
        </w:tc>
      </w:tr>
      <w:tr w:rsidR="00C27E55" w:rsidRPr="00BF1B53" w:rsidTr="004C2052">
        <w:trPr>
          <w:trHeight w:val="7105"/>
        </w:trPr>
        <w:tc>
          <w:tcPr>
            <w:tcW w:w="5529" w:type="dxa"/>
          </w:tcPr>
          <w:p w:rsidR="00C27E55" w:rsidRPr="00BF1B53" w:rsidRDefault="00C27E55" w:rsidP="004C2052">
            <w:pPr>
              <w:jc w:val="center"/>
              <w:rPr>
                <w:szCs w:val="24"/>
              </w:rPr>
            </w:pPr>
          </w:p>
          <w:tbl>
            <w:tblPr>
              <w:tblStyle w:val="ad"/>
              <w:tblW w:w="0" w:type="auto"/>
              <w:tblLook w:val="04A0" w:firstRow="1" w:lastRow="0" w:firstColumn="1" w:lastColumn="0" w:noHBand="0" w:noVBand="1"/>
            </w:tblPr>
            <w:tblGrid>
              <w:gridCol w:w="416"/>
              <w:gridCol w:w="1926"/>
              <w:gridCol w:w="2844"/>
            </w:tblGrid>
            <w:tr w:rsidR="00C27E55" w:rsidRPr="00BF1B53" w:rsidTr="004C2052">
              <w:tc>
                <w:tcPr>
                  <w:tcW w:w="421" w:type="dxa"/>
                </w:tcPr>
                <w:p w:rsidR="00C27E55" w:rsidRPr="00BF1B53" w:rsidRDefault="00C27E55" w:rsidP="004C2052">
                  <w:pPr>
                    <w:jc w:val="center"/>
                    <w:rPr>
                      <w:szCs w:val="24"/>
                    </w:rPr>
                  </w:pPr>
                  <w:r w:rsidRPr="00BF1B53">
                    <w:rPr>
                      <w:szCs w:val="24"/>
                    </w:rPr>
                    <w:t>7.</w:t>
                  </w:r>
                </w:p>
              </w:tc>
              <w:tc>
                <w:tcPr>
                  <w:tcW w:w="1735" w:type="dxa"/>
                </w:tcPr>
                <w:p w:rsidR="00C27E55" w:rsidRPr="00BF1B53" w:rsidRDefault="00C27E55" w:rsidP="004C2052">
                  <w:pPr>
                    <w:jc w:val="center"/>
                    <w:rPr>
                      <w:szCs w:val="24"/>
                    </w:rPr>
                  </w:pPr>
                  <w:r w:rsidRPr="00BF1B53">
                    <w:rPr>
                      <w:szCs w:val="24"/>
                    </w:rPr>
                    <w:t>Объем и источники финансирования</w:t>
                  </w:r>
                </w:p>
                <w:p w:rsidR="00C27E55" w:rsidRPr="00BF1B53" w:rsidRDefault="00C27E55" w:rsidP="004C2052">
                  <w:pPr>
                    <w:jc w:val="center"/>
                    <w:rPr>
                      <w:szCs w:val="24"/>
                      <w:highlight w:val="yellow"/>
                    </w:rPr>
                  </w:pPr>
                </w:p>
              </w:tc>
              <w:tc>
                <w:tcPr>
                  <w:tcW w:w="3030" w:type="dxa"/>
                </w:tcPr>
                <w:p w:rsidR="00C27E55" w:rsidRPr="00BF1B53" w:rsidRDefault="00C27E55" w:rsidP="004C2052">
                  <w:pPr>
                    <w:jc w:val="both"/>
                    <w:rPr>
                      <w:szCs w:val="24"/>
                    </w:rPr>
                  </w:pPr>
                  <w:r w:rsidRPr="00BF1B53">
                    <w:rPr>
                      <w:szCs w:val="24"/>
                    </w:rPr>
                    <w:t xml:space="preserve">Общий объем финансирования Программы – </w:t>
                  </w:r>
                  <w:r w:rsidRPr="00BF1B53">
                    <w:rPr>
                      <w:spacing w:val="-2"/>
                      <w:szCs w:val="24"/>
                    </w:rPr>
                    <w:t>60 000 000 рублей Приднестровской Молдавской</w:t>
                  </w:r>
                  <w:r w:rsidRPr="00BF1B53">
                    <w:rPr>
                      <w:szCs w:val="24"/>
                    </w:rPr>
                    <w:t xml:space="preserve"> Республики, в том числе за счет средств республиканского бюджета по годам:</w:t>
                  </w:r>
                </w:p>
                <w:p w:rsidR="00C27E55" w:rsidRPr="00BF1B53" w:rsidRDefault="00C27E55" w:rsidP="004C2052">
                  <w:pPr>
                    <w:jc w:val="both"/>
                    <w:rPr>
                      <w:szCs w:val="24"/>
                    </w:rPr>
                  </w:pPr>
                  <w:r w:rsidRPr="00BF1B53">
                    <w:rPr>
                      <w:szCs w:val="24"/>
                    </w:rPr>
                    <w:t xml:space="preserve">а) </w:t>
                  </w:r>
                  <w:r w:rsidRPr="00BF1B53">
                    <w:rPr>
                      <w:b/>
                      <w:szCs w:val="24"/>
                    </w:rPr>
                    <w:t>2024 год – 11 990 837 рублей</w:t>
                  </w:r>
                  <w:r w:rsidRPr="00BF1B53">
                    <w:rPr>
                      <w:szCs w:val="24"/>
                    </w:rPr>
                    <w:t xml:space="preserve"> </w:t>
                  </w:r>
                  <w:r w:rsidRPr="009F354C">
                    <w:rPr>
                      <w:b/>
                      <w:szCs w:val="24"/>
                    </w:rPr>
                    <w:t>Приднестровской Молдавской Республики</w:t>
                  </w:r>
                  <w:r w:rsidRPr="00BF1B53">
                    <w:rPr>
                      <w:szCs w:val="24"/>
                    </w:rPr>
                    <w:t>;</w:t>
                  </w:r>
                </w:p>
                <w:p w:rsidR="00C27E55" w:rsidRPr="00BF1B53" w:rsidRDefault="00C27E55" w:rsidP="004C2052">
                  <w:pPr>
                    <w:jc w:val="both"/>
                    <w:rPr>
                      <w:szCs w:val="24"/>
                    </w:rPr>
                  </w:pPr>
                  <w:r w:rsidRPr="00BF1B53">
                    <w:rPr>
                      <w:szCs w:val="24"/>
                    </w:rPr>
                    <w:t xml:space="preserve">б) 2025 год – </w:t>
                  </w:r>
                  <w:r w:rsidRPr="00672E22">
                    <w:rPr>
                      <w:b/>
                      <w:szCs w:val="24"/>
                    </w:rPr>
                    <w:t>11 924 443</w:t>
                  </w:r>
                  <w:r w:rsidRPr="00BF1B53">
                    <w:rPr>
                      <w:szCs w:val="24"/>
                    </w:rPr>
                    <w:t xml:space="preserve"> </w:t>
                  </w:r>
                  <w:r w:rsidRPr="009F354C">
                    <w:rPr>
                      <w:b/>
                      <w:szCs w:val="24"/>
                    </w:rPr>
                    <w:t>рубля Приднестровской Молдавской Республики</w:t>
                  </w:r>
                  <w:r w:rsidRPr="00BF1B53">
                    <w:rPr>
                      <w:szCs w:val="24"/>
                    </w:rPr>
                    <w:t>;</w:t>
                  </w:r>
                </w:p>
                <w:p w:rsidR="00C27E55" w:rsidRPr="00BF1B53" w:rsidRDefault="00C27E55" w:rsidP="004C2052">
                  <w:pPr>
                    <w:jc w:val="both"/>
                    <w:rPr>
                      <w:szCs w:val="24"/>
                    </w:rPr>
                  </w:pPr>
                  <w:r w:rsidRPr="00BF1B53">
                    <w:rPr>
                      <w:szCs w:val="24"/>
                    </w:rPr>
                    <w:t xml:space="preserve">в) </w:t>
                  </w:r>
                  <w:r w:rsidRPr="00BF1B53">
                    <w:rPr>
                      <w:b/>
                      <w:szCs w:val="24"/>
                    </w:rPr>
                    <w:t>2026 год – 12 045 765</w:t>
                  </w:r>
                  <w:r w:rsidRPr="00BF1B53">
                    <w:rPr>
                      <w:szCs w:val="24"/>
                    </w:rPr>
                    <w:t xml:space="preserve"> </w:t>
                  </w:r>
                  <w:r w:rsidRPr="00BF1B53">
                    <w:rPr>
                      <w:b/>
                      <w:szCs w:val="24"/>
                    </w:rPr>
                    <w:t>рублей</w:t>
                  </w:r>
                  <w:r w:rsidRPr="00BF1B53">
                    <w:rPr>
                      <w:szCs w:val="24"/>
                    </w:rPr>
                    <w:t xml:space="preserve"> </w:t>
                  </w:r>
                  <w:r w:rsidRPr="009F354C">
                    <w:rPr>
                      <w:b/>
                      <w:szCs w:val="24"/>
                    </w:rPr>
                    <w:t>Приднестровской Молдавской Республики</w:t>
                  </w:r>
                  <w:r w:rsidRPr="00BF1B53">
                    <w:rPr>
                      <w:szCs w:val="24"/>
                    </w:rPr>
                    <w:t>;</w:t>
                  </w:r>
                </w:p>
                <w:p w:rsidR="00C27E55" w:rsidRPr="00BF1B53" w:rsidRDefault="00C27E55" w:rsidP="004C2052">
                  <w:pPr>
                    <w:jc w:val="both"/>
                    <w:rPr>
                      <w:szCs w:val="24"/>
                    </w:rPr>
                  </w:pPr>
                  <w:r w:rsidRPr="00BF1B53">
                    <w:rPr>
                      <w:szCs w:val="24"/>
                    </w:rPr>
                    <w:t xml:space="preserve">г) 2027 год – </w:t>
                  </w:r>
                  <w:r w:rsidRPr="00672E22">
                    <w:rPr>
                      <w:b/>
                      <w:szCs w:val="24"/>
                    </w:rPr>
                    <w:t>12 013 505</w:t>
                  </w:r>
                  <w:r w:rsidRPr="00BF1B53">
                    <w:rPr>
                      <w:szCs w:val="24"/>
                    </w:rPr>
                    <w:t xml:space="preserve"> </w:t>
                  </w:r>
                  <w:r w:rsidRPr="009F354C">
                    <w:rPr>
                      <w:b/>
                      <w:szCs w:val="24"/>
                    </w:rPr>
                    <w:t>рублей Приднестровской Молдавской Республики</w:t>
                  </w:r>
                  <w:r w:rsidRPr="00BF1B53">
                    <w:rPr>
                      <w:szCs w:val="24"/>
                    </w:rPr>
                    <w:t>;</w:t>
                  </w:r>
                </w:p>
                <w:p w:rsidR="00C27E55" w:rsidRPr="00BF1B53" w:rsidRDefault="00C27E55" w:rsidP="004C2052">
                  <w:pPr>
                    <w:jc w:val="both"/>
                    <w:rPr>
                      <w:szCs w:val="24"/>
                      <w:highlight w:val="yellow"/>
                    </w:rPr>
                  </w:pPr>
                  <w:r>
                    <w:rPr>
                      <w:szCs w:val="24"/>
                    </w:rPr>
                    <w:t xml:space="preserve">д) 2028 год – 12 025 450 </w:t>
                  </w:r>
                  <w:r w:rsidRPr="009F354C">
                    <w:rPr>
                      <w:b/>
                      <w:szCs w:val="24"/>
                    </w:rPr>
                    <w:t>рублей Приднестровской Молдавской Республики</w:t>
                  </w:r>
                </w:p>
              </w:tc>
            </w:tr>
          </w:tbl>
          <w:p w:rsidR="00C27E55" w:rsidRPr="00BF1B53" w:rsidRDefault="00C27E55" w:rsidP="004C2052">
            <w:pPr>
              <w:jc w:val="center"/>
              <w:rPr>
                <w:szCs w:val="24"/>
                <w:highlight w:val="yellow"/>
              </w:rPr>
            </w:pPr>
          </w:p>
        </w:tc>
        <w:tc>
          <w:tcPr>
            <w:tcW w:w="5387" w:type="dxa"/>
          </w:tcPr>
          <w:tbl>
            <w:tblPr>
              <w:tblStyle w:val="ad"/>
              <w:tblpPr w:leftFromText="180" w:rightFromText="180" w:vertAnchor="page" w:horzAnchor="margin" w:tblpX="-10" w:tblpY="241"/>
              <w:tblOverlap w:val="never"/>
              <w:tblW w:w="5278" w:type="dxa"/>
              <w:tblLook w:val="04A0" w:firstRow="1" w:lastRow="0" w:firstColumn="1" w:lastColumn="0" w:noHBand="0" w:noVBand="1"/>
            </w:tblPr>
            <w:tblGrid>
              <w:gridCol w:w="421"/>
              <w:gridCol w:w="1926"/>
              <w:gridCol w:w="2931"/>
            </w:tblGrid>
            <w:tr w:rsidR="00C27E55" w:rsidRPr="009F354C" w:rsidTr="004C2052">
              <w:trPr>
                <w:trHeight w:val="6653"/>
              </w:trPr>
              <w:tc>
                <w:tcPr>
                  <w:tcW w:w="421" w:type="dxa"/>
                </w:tcPr>
                <w:p w:rsidR="00C27E55" w:rsidRPr="009F354C" w:rsidRDefault="00C27E55" w:rsidP="004C2052">
                  <w:pPr>
                    <w:jc w:val="center"/>
                    <w:rPr>
                      <w:szCs w:val="24"/>
                    </w:rPr>
                  </w:pPr>
                  <w:r w:rsidRPr="009F354C">
                    <w:rPr>
                      <w:szCs w:val="24"/>
                    </w:rPr>
                    <w:t>7.</w:t>
                  </w:r>
                </w:p>
              </w:tc>
              <w:tc>
                <w:tcPr>
                  <w:tcW w:w="1912" w:type="dxa"/>
                </w:tcPr>
                <w:p w:rsidR="00C27E55" w:rsidRPr="009F354C" w:rsidRDefault="00C27E55" w:rsidP="004C2052">
                  <w:pPr>
                    <w:jc w:val="center"/>
                    <w:rPr>
                      <w:szCs w:val="24"/>
                    </w:rPr>
                  </w:pPr>
                  <w:r w:rsidRPr="009F354C">
                    <w:rPr>
                      <w:szCs w:val="24"/>
                    </w:rPr>
                    <w:t>Объем и источники финансирования</w:t>
                  </w:r>
                </w:p>
                <w:p w:rsidR="00C27E55" w:rsidRPr="009F354C" w:rsidRDefault="00C27E55" w:rsidP="004C2052">
                  <w:pPr>
                    <w:jc w:val="center"/>
                    <w:rPr>
                      <w:szCs w:val="24"/>
                      <w:highlight w:val="yellow"/>
                    </w:rPr>
                  </w:pPr>
                </w:p>
              </w:tc>
              <w:tc>
                <w:tcPr>
                  <w:tcW w:w="2945" w:type="dxa"/>
                </w:tcPr>
                <w:p w:rsidR="00C27E55" w:rsidRPr="009F354C" w:rsidRDefault="00C27E55" w:rsidP="004C2052">
                  <w:pPr>
                    <w:jc w:val="both"/>
                    <w:rPr>
                      <w:szCs w:val="24"/>
                    </w:rPr>
                  </w:pPr>
                  <w:r w:rsidRPr="009F354C">
                    <w:rPr>
                      <w:szCs w:val="24"/>
                    </w:rPr>
                    <w:t xml:space="preserve">Общий объем финансирования Программы – </w:t>
                  </w:r>
                  <w:r w:rsidRPr="009F354C">
                    <w:rPr>
                      <w:spacing w:val="-2"/>
                      <w:szCs w:val="24"/>
                    </w:rPr>
                    <w:t>60 000 000 рублей Приднестровской Молдавской</w:t>
                  </w:r>
                  <w:r w:rsidRPr="009F354C">
                    <w:rPr>
                      <w:szCs w:val="24"/>
                    </w:rPr>
                    <w:t xml:space="preserve"> Республики (</w:t>
                  </w:r>
                  <w:r w:rsidRPr="009F354C">
                    <w:rPr>
                      <w:b/>
                      <w:szCs w:val="24"/>
                    </w:rPr>
                    <w:t>далее - рублей</w:t>
                  </w:r>
                  <w:r w:rsidRPr="009F354C">
                    <w:rPr>
                      <w:szCs w:val="24"/>
                    </w:rPr>
                    <w:t>), в том числе за счет средств республиканского бюджета по годам:</w:t>
                  </w:r>
                </w:p>
                <w:p w:rsidR="00C27E55" w:rsidRPr="009F354C" w:rsidRDefault="00C27E55" w:rsidP="004C2052">
                  <w:pPr>
                    <w:jc w:val="both"/>
                    <w:rPr>
                      <w:szCs w:val="24"/>
                    </w:rPr>
                  </w:pPr>
                  <w:r w:rsidRPr="009F354C">
                    <w:rPr>
                      <w:szCs w:val="24"/>
                    </w:rPr>
                    <w:t xml:space="preserve">а) 2024 год – </w:t>
                  </w:r>
                  <w:r w:rsidRPr="009F354C">
                    <w:rPr>
                      <w:b/>
                      <w:szCs w:val="24"/>
                    </w:rPr>
                    <w:t>8 326 824 рубля</w:t>
                  </w:r>
                  <w:r w:rsidRPr="009F354C">
                    <w:rPr>
                      <w:szCs w:val="24"/>
                    </w:rPr>
                    <w:t>;</w:t>
                  </w:r>
                </w:p>
                <w:p w:rsidR="00C27E55" w:rsidRPr="009F354C" w:rsidRDefault="00C27E55" w:rsidP="004C2052">
                  <w:pPr>
                    <w:jc w:val="both"/>
                    <w:rPr>
                      <w:szCs w:val="24"/>
                    </w:rPr>
                  </w:pPr>
                  <w:r w:rsidRPr="009F354C">
                    <w:rPr>
                      <w:szCs w:val="24"/>
                    </w:rPr>
                    <w:t xml:space="preserve">б) 2025 год – </w:t>
                  </w:r>
                  <w:r w:rsidRPr="009F354C">
                    <w:rPr>
                      <w:b/>
                      <w:szCs w:val="24"/>
                    </w:rPr>
                    <w:t>10 776 943 рубля</w:t>
                  </w:r>
                  <w:r w:rsidRPr="009F354C">
                    <w:rPr>
                      <w:szCs w:val="24"/>
                    </w:rPr>
                    <w:t>;</w:t>
                  </w:r>
                </w:p>
                <w:p w:rsidR="00C27E55" w:rsidRPr="009F354C" w:rsidRDefault="00C27E55" w:rsidP="004C2052">
                  <w:pPr>
                    <w:jc w:val="both"/>
                    <w:rPr>
                      <w:szCs w:val="24"/>
                    </w:rPr>
                  </w:pPr>
                  <w:r w:rsidRPr="009F354C">
                    <w:rPr>
                      <w:szCs w:val="24"/>
                    </w:rPr>
                    <w:t xml:space="preserve">в) 2026 год – </w:t>
                  </w:r>
                  <w:r w:rsidRPr="009F354C">
                    <w:rPr>
                      <w:b/>
                      <w:szCs w:val="24"/>
                    </w:rPr>
                    <w:t>16 134 778 рублей</w:t>
                  </w:r>
                  <w:r w:rsidRPr="009F354C">
                    <w:rPr>
                      <w:szCs w:val="24"/>
                    </w:rPr>
                    <w:t>;</w:t>
                  </w:r>
                </w:p>
                <w:p w:rsidR="00C27E55" w:rsidRPr="009F354C" w:rsidRDefault="00C27E55" w:rsidP="004C2052">
                  <w:pPr>
                    <w:jc w:val="both"/>
                    <w:rPr>
                      <w:szCs w:val="24"/>
                    </w:rPr>
                  </w:pPr>
                  <w:r w:rsidRPr="009F354C">
                    <w:rPr>
                      <w:szCs w:val="24"/>
                    </w:rPr>
                    <w:t xml:space="preserve">г) 2027 год – </w:t>
                  </w:r>
                  <w:r w:rsidRPr="009F354C">
                    <w:rPr>
                      <w:b/>
                      <w:szCs w:val="24"/>
                    </w:rPr>
                    <w:t>12 736 005 рублей;</w:t>
                  </w:r>
                </w:p>
                <w:p w:rsidR="00C27E55" w:rsidRPr="009F354C" w:rsidRDefault="00C27E55" w:rsidP="004C2052">
                  <w:pPr>
                    <w:rPr>
                      <w:szCs w:val="24"/>
                      <w:highlight w:val="yellow"/>
                    </w:rPr>
                  </w:pPr>
                  <w:r w:rsidRPr="009F354C">
                    <w:rPr>
                      <w:szCs w:val="24"/>
                    </w:rPr>
                    <w:t>д) 2028 год – 12 025 450 рублей</w:t>
                  </w:r>
                </w:p>
              </w:tc>
            </w:tr>
          </w:tbl>
          <w:p w:rsidR="00C27E55" w:rsidRPr="00BF1B53" w:rsidRDefault="00C27E55" w:rsidP="004C2052">
            <w:pPr>
              <w:jc w:val="center"/>
              <w:rPr>
                <w:szCs w:val="24"/>
              </w:rPr>
            </w:pPr>
          </w:p>
        </w:tc>
      </w:tr>
    </w:tbl>
    <w:p w:rsidR="00C27E55" w:rsidRDefault="00C27E55" w:rsidP="00C27E55">
      <w:pPr>
        <w:jc w:val="center"/>
        <w:rPr>
          <w:sz w:val="28"/>
          <w:szCs w:val="28"/>
        </w:rPr>
      </w:pPr>
    </w:p>
    <w:p w:rsidR="00C27E55" w:rsidRPr="000A4E75" w:rsidRDefault="00C27E55" w:rsidP="00C27E55">
      <w:pPr>
        <w:jc w:val="both"/>
        <w:rPr>
          <w:sz w:val="28"/>
          <w:szCs w:val="28"/>
        </w:rPr>
      </w:pPr>
    </w:p>
    <w:p w:rsidR="00C27E55" w:rsidRDefault="00C27E55" w:rsidP="00C27E55">
      <w:pPr>
        <w:rPr>
          <w:sz w:val="28"/>
          <w:szCs w:val="28"/>
        </w:rPr>
      </w:pPr>
    </w:p>
    <w:p w:rsidR="00726174" w:rsidRPr="000A4E75" w:rsidRDefault="00C27E55" w:rsidP="00C27E55">
      <w:pPr>
        <w:jc w:val="center"/>
        <w:rPr>
          <w:sz w:val="28"/>
          <w:szCs w:val="28"/>
        </w:rPr>
      </w:pPr>
      <w:r w:rsidRPr="000A4E75">
        <w:rPr>
          <w:sz w:val="28"/>
          <w:szCs w:val="28"/>
        </w:rPr>
        <w:t xml:space="preserve"> </w:t>
      </w:r>
    </w:p>
    <w:bookmarkEnd w:id="0"/>
    <w:p w:rsidR="007600DB" w:rsidRDefault="007600DB" w:rsidP="00BE42FA">
      <w:pPr>
        <w:rPr>
          <w:sz w:val="28"/>
          <w:szCs w:val="28"/>
        </w:rPr>
      </w:pPr>
    </w:p>
    <w:sectPr w:rsidR="007600DB" w:rsidSect="00B94755">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12E1C"/>
    <w:rsid w:val="00815692"/>
    <w:rsid w:val="0082071B"/>
    <w:rsid w:val="00821F6B"/>
    <w:rsid w:val="00822B29"/>
    <w:rsid w:val="008232CE"/>
    <w:rsid w:val="0082767F"/>
    <w:rsid w:val="00834E81"/>
    <w:rsid w:val="00840DC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D06D77"/>
    <w:rsid w:val="00D15570"/>
    <w:rsid w:val="00D20E26"/>
    <w:rsid w:val="00D226DE"/>
    <w:rsid w:val="00D237C0"/>
    <w:rsid w:val="00D27FF8"/>
    <w:rsid w:val="00D3353F"/>
    <w:rsid w:val="00D372D1"/>
    <w:rsid w:val="00D43B3F"/>
    <w:rsid w:val="00D44375"/>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41D7B"/>
    <w:rsid w:val="00E52535"/>
    <w:rsid w:val="00E563CD"/>
    <w:rsid w:val="00E57F46"/>
    <w:rsid w:val="00E66835"/>
    <w:rsid w:val="00E67317"/>
    <w:rsid w:val="00E67CC4"/>
    <w:rsid w:val="00E719EF"/>
    <w:rsid w:val="00E72A6D"/>
    <w:rsid w:val="00E731ED"/>
    <w:rsid w:val="00E74749"/>
    <w:rsid w:val="00E76257"/>
    <w:rsid w:val="00E76F03"/>
    <w:rsid w:val="00E85E15"/>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iPriority w:val="99"/>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w:basedOn w:val="a0"/>
    <w:uiPriority w:val="99"/>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8BE5B-4A50-4C10-80F4-8F8050D3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2</cp:revision>
  <cp:lastPrinted>2026-01-30T06:58:00Z</cp:lastPrinted>
  <dcterms:created xsi:type="dcterms:W3CDTF">2026-02-09T12:39:00Z</dcterms:created>
  <dcterms:modified xsi:type="dcterms:W3CDTF">2026-02-09T12:39:00Z</dcterms:modified>
</cp:coreProperties>
</file>