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C54" w:rsidRPr="000A60D0" w:rsidRDefault="00E87C54" w:rsidP="00E87C54">
      <w:pPr>
        <w:jc w:val="center"/>
        <w:rPr>
          <w:bCs/>
          <w:sz w:val="28"/>
          <w:szCs w:val="28"/>
        </w:rPr>
      </w:pPr>
      <w:r w:rsidRPr="000A60D0">
        <w:rPr>
          <w:bCs/>
          <w:sz w:val="28"/>
          <w:szCs w:val="28"/>
        </w:rPr>
        <w:t>СРАВНИТЕЛЬНАЯ ТАБЛИЦА</w:t>
      </w:r>
    </w:p>
    <w:p w:rsidR="00E87C54" w:rsidRPr="000A60D0" w:rsidRDefault="00E87C54" w:rsidP="00E87C54">
      <w:pPr>
        <w:jc w:val="center"/>
        <w:rPr>
          <w:bCs/>
          <w:sz w:val="28"/>
          <w:szCs w:val="28"/>
        </w:rPr>
      </w:pPr>
      <w:r w:rsidRPr="000A60D0">
        <w:rPr>
          <w:bCs/>
          <w:sz w:val="28"/>
          <w:szCs w:val="28"/>
        </w:rPr>
        <w:t>к проекту закона Приднестровской Молдавской Республики</w:t>
      </w:r>
    </w:p>
    <w:p w:rsidR="00E87C54" w:rsidRPr="000A60D0" w:rsidRDefault="00E87C54" w:rsidP="00E87C54">
      <w:pPr>
        <w:jc w:val="center"/>
        <w:rPr>
          <w:bCs/>
          <w:sz w:val="28"/>
          <w:szCs w:val="28"/>
        </w:rPr>
      </w:pPr>
      <w:r w:rsidRPr="000A60D0">
        <w:rPr>
          <w:bCs/>
          <w:sz w:val="28"/>
          <w:szCs w:val="28"/>
        </w:rPr>
        <w:t>«О внесении изменений в Закон Приднестровской Молдавской Республики</w:t>
      </w:r>
    </w:p>
    <w:p w:rsidR="00E87C54" w:rsidRPr="000A60D0" w:rsidRDefault="00E87C54" w:rsidP="00E87C54">
      <w:pPr>
        <w:jc w:val="center"/>
        <w:rPr>
          <w:bCs/>
          <w:sz w:val="28"/>
          <w:szCs w:val="28"/>
        </w:rPr>
      </w:pPr>
      <w:r w:rsidRPr="000A60D0">
        <w:rPr>
          <w:bCs/>
          <w:sz w:val="28"/>
          <w:szCs w:val="28"/>
        </w:rPr>
        <w:t>«</w:t>
      </w:r>
      <w:r w:rsidRPr="000A60D0">
        <w:rPr>
          <w:sz w:val="28"/>
          <w:szCs w:val="28"/>
        </w:rPr>
        <w:t>О бюджетной классификации Приднестровской Молдавской Республики</w:t>
      </w:r>
      <w:r w:rsidRPr="000A60D0">
        <w:rPr>
          <w:bCs/>
          <w:sz w:val="28"/>
          <w:szCs w:val="28"/>
        </w:rPr>
        <w:t>»</w:t>
      </w:r>
    </w:p>
    <w:p w:rsidR="00E87C54" w:rsidRPr="000A60D0" w:rsidRDefault="00E87C54" w:rsidP="00E87C54">
      <w:pPr>
        <w:ind w:firstLine="90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3"/>
      </w:tblGrid>
      <w:tr w:rsidR="00E87C54" w:rsidRPr="000A60D0" w:rsidTr="00C06B92">
        <w:trPr>
          <w:trHeight w:val="377"/>
        </w:trPr>
        <w:tc>
          <w:tcPr>
            <w:tcW w:w="4967" w:type="dxa"/>
            <w:tcBorders>
              <w:top w:val="single" w:sz="4" w:space="0" w:color="auto"/>
              <w:left w:val="single" w:sz="4" w:space="0" w:color="auto"/>
              <w:bottom w:val="single" w:sz="4" w:space="0" w:color="auto"/>
              <w:right w:val="single" w:sz="4" w:space="0" w:color="auto"/>
            </w:tcBorders>
            <w:vAlign w:val="center"/>
            <w:hideMark/>
          </w:tcPr>
          <w:p w:rsidR="00E87C54" w:rsidRPr="000A60D0" w:rsidRDefault="00E87C54" w:rsidP="00C06B92">
            <w:pPr>
              <w:jc w:val="center"/>
              <w:rPr>
                <w:b/>
                <w:bCs/>
                <w:sz w:val="28"/>
                <w:szCs w:val="28"/>
              </w:rPr>
            </w:pPr>
            <w:r w:rsidRPr="000A60D0">
              <w:rPr>
                <w:b/>
                <w:bCs/>
                <w:sz w:val="28"/>
                <w:szCs w:val="28"/>
              </w:rPr>
              <w:t>Действующая редакция</w:t>
            </w:r>
          </w:p>
        </w:tc>
        <w:tc>
          <w:tcPr>
            <w:tcW w:w="4945" w:type="dxa"/>
            <w:tcBorders>
              <w:top w:val="single" w:sz="4" w:space="0" w:color="auto"/>
              <w:left w:val="single" w:sz="4" w:space="0" w:color="auto"/>
              <w:bottom w:val="single" w:sz="4" w:space="0" w:color="auto"/>
              <w:right w:val="single" w:sz="4" w:space="0" w:color="auto"/>
            </w:tcBorders>
            <w:vAlign w:val="center"/>
            <w:hideMark/>
          </w:tcPr>
          <w:p w:rsidR="00E87C54" w:rsidRPr="000A60D0" w:rsidRDefault="00E87C54" w:rsidP="00C06B92">
            <w:pPr>
              <w:jc w:val="center"/>
              <w:rPr>
                <w:b/>
                <w:bCs/>
                <w:sz w:val="28"/>
                <w:szCs w:val="28"/>
              </w:rPr>
            </w:pPr>
            <w:r w:rsidRPr="000A60D0">
              <w:rPr>
                <w:b/>
                <w:bCs/>
                <w:sz w:val="28"/>
                <w:szCs w:val="28"/>
              </w:rPr>
              <w:t>Предлагаемая редакция</w:t>
            </w:r>
          </w:p>
        </w:tc>
      </w:tr>
      <w:tr w:rsidR="00E87C54" w:rsidRPr="000A60D0" w:rsidTr="00C06B92">
        <w:trPr>
          <w:trHeight w:val="274"/>
        </w:trPr>
        <w:tc>
          <w:tcPr>
            <w:tcW w:w="4967" w:type="dxa"/>
            <w:tcBorders>
              <w:top w:val="single" w:sz="4" w:space="0" w:color="auto"/>
              <w:left w:val="single" w:sz="4" w:space="0" w:color="auto"/>
              <w:bottom w:val="single" w:sz="4" w:space="0" w:color="auto"/>
              <w:right w:val="single" w:sz="4" w:space="0" w:color="auto"/>
            </w:tcBorders>
          </w:tcPr>
          <w:p w:rsidR="00E87C54" w:rsidRPr="000A60D0" w:rsidRDefault="00E87C54" w:rsidP="00C06B92">
            <w:pPr>
              <w:jc w:val="right"/>
            </w:pPr>
            <w:r w:rsidRPr="000A60D0">
              <w:t>Приложение № 2</w:t>
            </w:r>
          </w:p>
          <w:p w:rsidR="00E87C54" w:rsidRPr="000A60D0" w:rsidRDefault="00E87C54" w:rsidP="00C06B92">
            <w:pPr>
              <w:jc w:val="right"/>
            </w:pPr>
            <w:r w:rsidRPr="000A60D0">
              <w:t>к Закону Приднестровской Молдавской</w:t>
            </w:r>
          </w:p>
          <w:p w:rsidR="00E87C54" w:rsidRPr="000A60D0" w:rsidRDefault="00E87C54" w:rsidP="00C06B92">
            <w:pPr>
              <w:jc w:val="right"/>
            </w:pPr>
            <w:r w:rsidRPr="000A60D0">
              <w:t>Республики «О бюджетной классификации</w:t>
            </w:r>
          </w:p>
          <w:p w:rsidR="00E87C54" w:rsidRPr="000A60D0" w:rsidRDefault="00E87C54" w:rsidP="00C06B92">
            <w:pPr>
              <w:jc w:val="right"/>
            </w:pPr>
            <w:r w:rsidRPr="000A60D0">
              <w:t>Приднестровской Молдавской Республики»</w:t>
            </w:r>
          </w:p>
          <w:p w:rsidR="00E87C54" w:rsidRPr="000A60D0" w:rsidRDefault="00E87C54" w:rsidP="00C06B92">
            <w:pPr>
              <w:jc w:val="center"/>
            </w:pPr>
          </w:p>
          <w:p w:rsidR="00E87C54" w:rsidRPr="000A60D0" w:rsidRDefault="00E87C54" w:rsidP="00C06B92">
            <w:pPr>
              <w:jc w:val="center"/>
            </w:pPr>
            <w:r w:rsidRPr="000A60D0">
              <w:t xml:space="preserve">Функциональная классификация расходов бюджетов Приднестровской Молдавской Республики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62"/>
              <w:gridCol w:w="3388"/>
            </w:tblGrid>
            <w:tr w:rsidR="00E87C54" w:rsidRPr="000A60D0" w:rsidTr="00C06B92">
              <w:trPr>
                <w:tblCellSpacing w:w="0" w:type="dxa"/>
              </w:trPr>
              <w:tc>
                <w:tcPr>
                  <w:tcW w:w="1123"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both"/>
                  </w:pPr>
                  <w:r w:rsidRPr="000A60D0">
                    <w:t>Код</w:t>
                  </w:r>
                </w:p>
              </w:tc>
              <w:tc>
                <w:tcPr>
                  <w:tcW w:w="3633"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both"/>
                  </w:pPr>
                  <w:r w:rsidRPr="000A60D0">
                    <w:rPr>
                      <w:iCs/>
                    </w:rPr>
                    <w:t>Наименование разделов и подразделов</w:t>
                  </w:r>
                </w:p>
              </w:tc>
            </w:tr>
          </w:tbl>
          <w:p w:rsidR="00E87C54" w:rsidRPr="000A60D0" w:rsidRDefault="00E87C54" w:rsidP="00C06B92">
            <w:r w:rsidRPr="000A60D0">
              <w:t>…</w:t>
            </w:r>
          </w:p>
          <w:p w:rsidR="00E87C54" w:rsidRPr="000A60D0" w:rsidRDefault="00E87C54" w:rsidP="00C06B92">
            <w:pPr>
              <w:autoSpaceDE w:val="0"/>
              <w:autoSpaceDN w:val="0"/>
              <w:adjustRightInd w:val="0"/>
              <w:jc w:val="both"/>
              <w:rPr>
                <w:iCs/>
              </w:rPr>
            </w:pPr>
            <w:r w:rsidRPr="000A60D0">
              <w:rPr>
                <w:iCs/>
              </w:rPr>
              <w:t>0108 Функционирование органов статистики</w:t>
            </w:r>
          </w:p>
          <w:p w:rsidR="00E87C54" w:rsidRPr="000A60D0" w:rsidRDefault="00E87C54" w:rsidP="00C06B92">
            <w:pPr>
              <w:autoSpaceDE w:val="0"/>
              <w:autoSpaceDN w:val="0"/>
              <w:adjustRightInd w:val="0"/>
              <w:jc w:val="both"/>
              <w:rPr>
                <w:sz w:val="28"/>
                <w:szCs w:val="28"/>
              </w:rPr>
            </w:pPr>
            <w:r w:rsidRPr="000A60D0">
              <w:rPr>
                <w:iCs/>
              </w:rPr>
              <w:t>…</w:t>
            </w:r>
          </w:p>
        </w:tc>
        <w:tc>
          <w:tcPr>
            <w:tcW w:w="4945" w:type="dxa"/>
            <w:tcBorders>
              <w:top w:val="single" w:sz="4" w:space="0" w:color="auto"/>
              <w:left w:val="single" w:sz="4" w:space="0" w:color="auto"/>
              <w:bottom w:val="single" w:sz="4" w:space="0" w:color="auto"/>
              <w:right w:val="single" w:sz="4" w:space="0" w:color="auto"/>
            </w:tcBorders>
          </w:tcPr>
          <w:p w:rsidR="00E87C54" w:rsidRPr="000A60D0" w:rsidRDefault="00E87C54" w:rsidP="00C06B92">
            <w:pPr>
              <w:jc w:val="right"/>
            </w:pPr>
            <w:r w:rsidRPr="000A60D0">
              <w:t>Приложение № 2</w:t>
            </w:r>
          </w:p>
          <w:p w:rsidR="00E87C54" w:rsidRPr="000A60D0" w:rsidRDefault="00E87C54" w:rsidP="00C06B92">
            <w:pPr>
              <w:jc w:val="right"/>
            </w:pPr>
            <w:r w:rsidRPr="000A60D0">
              <w:t>к Закону Приднестровской Молдавской</w:t>
            </w:r>
          </w:p>
          <w:p w:rsidR="00E87C54" w:rsidRPr="000A60D0" w:rsidRDefault="00E87C54" w:rsidP="00C06B92">
            <w:pPr>
              <w:jc w:val="right"/>
            </w:pPr>
            <w:r w:rsidRPr="000A60D0">
              <w:t>Республики «О бюджетной классификации</w:t>
            </w:r>
          </w:p>
          <w:p w:rsidR="00E87C54" w:rsidRPr="000A60D0" w:rsidRDefault="00E87C54" w:rsidP="00C06B92">
            <w:pPr>
              <w:jc w:val="right"/>
            </w:pPr>
            <w:r w:rsidRPr="000A60D0">
              <w:t>Приднестровской Молдавской Республики»</w:t>
            </w:r>
          </w:p>
          <w:p w:rsidR="00E87C54" w:rsidRPr="000A60D0" w:rsidRDefault="00E87C54" w:rsidP="00C06B92">
            <w:pPr>
              <w:jc w:val="center"/>
            </w:pPr>
          </w:p>
          <w:p w:rsidR="00E87C54" w:rsidRPr="000A60D0" w:rsidRDefault="00E87C54" w:rsidP="00C06B92">
            <w:pPr>
              <w:jc w:val="center"/>
            </w:pPr>
            <w:r w:rsidRPr="000A60D0">
              <w:t>Функциональная классификация расходов бюджетов Приднестровской Молдавской Республики</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58"/>
              <w:gridCol w:w="3373"/>
            </w:tblGrid>
            <w:tr w:rsidR="00E87C54" w:rsidRPr="000A60D0" w:rsidTr="00C06B92">
              <w:trPr>
                <w:tblCellSpacing w:w="0" w:type="dxa"/>
              </w:trPr>
              <w:tc>
                <w:tcPr>
                  <w:tcW w:w="1123"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both"/>
                  </w:pPr>
                  <w:r w:rsidRPr="000A60D0">
                    <w:t>Код</w:t>
                  </w:r>
                </w:p>
              </w:tc>
              <w:tc>
                <w:tcPr>
                  <w:tcW w:w="3633"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both"/>
                  </w:pPr>
                  <w:r w:rsidRPr="000A60D0">
                    <w:rPr>
                      <w:iCs/>
                    </w:rPr>
                    <w:t>Наименование разделов и подразделов</w:t>
                  </w:r>
                </w:p>
              </w:tc>
            </w:tr>
          </w:tbl>
          <w:p w:rsidR="00E87C54" w:rsidRPr="000A60D0" w:rsidRDefault="00E87C54" w:rsidP="00C06B92">
            <w:r w:rsidRPr="000A60D0">
              <w:t>…</w:t>
            </w:r>
          </w:p>
          <w:p w:rsidR="00E87C54" w:rsidRPr="000A60D0" w:rsidRDefault="00E87C54" w:rsidP="00C06B92">
            <w:pPr>
              <w:rPr>
                <w:b/>
                <w:bCs/>
              </w:rPr>
            </w:pPr>
            <w:r w:rsidRPr="000A60D0">
              <w:rPr>
                <w:b/>
                <w:bCs/>
              </w:rPr>
              <w:t>Исключена.</w:t>
            </w:r>
          </w:p>
          <w:p w:rsidR="00E87C54" w:rsidRPr="000A60D0" w:rsidRDefault="00E87C54" w:rsidP="00C06B92">
            <w:pPr>
              <w:rPr>
                <w:sz w:val="28"/>
                <w:szCs w:val="28"/>
              </w:rPr>
            </w:pPr>
            <w:r w:rsidRPr="000A60D0">
              <w:rPr>
                <w:sz w:val="28"/>
                <w:szCs w:val="28"/>
              </w:rPr>
              <w:t>…</w:t>
            </w:r>
          </w:p>
        </w:tc>
      </w:tr>
      <w:tr w:rsidR="00E87C54" w:rsidRPr="000A60D0" w:rsidTr="00C06B92">
        <w:trPr>
          <w:trHeight w:val="274"/>
        </w:trPr>
        <w:tc>
          <w:tcPr>
            <w:tcW w:w="4967" w:type="dxa"/>
            <w:tcBorders>
              <w:top w:val="single" w:sz="4" w:space="0" w:color="auto"/>
              <w:left w:val="single" w:sz="4" w:space="0" w:color="auto"/>
              <w:bottom w:val="single" w:sz="4" w:space="0" w:color="auto"/>
              <w:right w:val="single" w:sz="4" w:space="0" w:color="auto"/>
            </w:tcBorders>
          </w:tcPr>
          <w:p w:rsidR="00E87C54" w:rsidRPr="000A60D0" w:rsidRDefault="00E87C54" w:rsidP="00C06B92">
            <w:pPr>
              <w:jc w:val="right"/>
            </w:pPr>
            <w:r w:rsidRPr="000A60D0">
              <w:t>Приложение № 10</w:t>
            </w:r>
          </w:p>
          <w:p w:rsidR="00E87C54" w:rsidRPr="000A60D0" w:rsidRDefault="00E87C54" w:rsidP="00C06B92">
            <w:pPr>
              <w:jc w:val="right"/>
            </w:pPr>
            <w:r w:rsidRPr="000A60D0">
              <w:t>к Закону Приднестровской Молдавской</w:t>
            </w:r>
          </w:p>
          <w:p w:rsidR="00E87C54" w:rsidRPr="000A60D0" w:rsidRDefault="00E87C54" w:rsidP="00C06B92">
            <w:pPr>
              <w:jc w:val="right"/>
            </w:pPr>
            <w:r w:rsidRPr="000A60D0">
              <w:t>Республики «О бюджетной классификации</w:t>
            </w:r>
          </w:p>
          <w:p w:rsidR="00E87C54" w:rsidRPr="000A60D0" w:rsidRDefault="00E87C54" w:rsidP="00C06B92">
            <w:pPr>
              <w:jc w:val="right"/>
            </w:pPr>
            <w:r w:rsidRPr="000A60D0">
              <w:t>Приднестровской Молдавской Республики»</w:t>
            </w:r>
          </w:p>
          <w:p w:rsidR="00E87C54" w:rsidRPr="000A60D0" w:rsidRDefault="00E87C54" w:rsidP="00C06B92">
            <w:pPr>
              <w:jc w:val="center"/>
            </w:pPr>
          </w:p>
          <w:p w:rsidR="00E87C54" w:rsidRPr="000A60D0" w:rsidRDefault="00E87C54" w:rsidP="00C06B92">
            <w:pPr>
              <w:jc w:val="center"/>
            </w:pPr>
            <w:r w:rsidRPr="000A60D0">
              <w:t xml:space="preserve">Перечень прямых получателей средств из республиканского бюджета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65"/>
              <w:gridCol w:w="3385"/>
            </w:tblGrid>
            <w:tr w:rsidR="00E87C54" w:rsidRPr="000A60D0" w:rsidTr="00C06B92">
              <w:trPr>
                <w:tblCellSpacing w:w="0" w:type="dxa"/>
              </w:trPr>
              <w:tc>
                <w:tcPr>
                  <w:tcW w:w="1118"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center"/>
                  </w:pPr>
                  <w:r w:rsidRPr="000A60D0">
                    <w:t>Код</w:t>
                  </w:r>
                </w:p>
              </w:tc>
              <w:tc>
                <w:tcPr>
                  <w:tcW w:w="3595"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center"/>
                  </w:pPr>
                  <w:r w:rsidRPr="000A60D0">
                    <w:rPr>
                      <w:iCs/>
                    </w:rPr>
                    <w:t>Наименование</w:t>
                  </w:r>
                </w:p>
              </w:tc>
            </w:tr>
            <w:tr w:rsidR="00E87C54" w:rsidRPr="000A60D0" w:rsidTr="00C06B92">
              <w:trPr>
                <w:tblCellSpacing w:w="0" w:type="dxa"/>
              </w:trPr>
              <w:tc>
                <w:tcPr>
                  <w:tcW w:w="1118"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center"/>
                  </w:pPr>
                  <w:r w:rsidRPr="000A60D0">
                    <w:t>1</w:t>
                  </w:r>
                </w:p>
              </w:tc>
              <w:tc>
                <w:tcPr>
                  <w:tcW w:w="3595"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center"/>
                    <w:rPr>
                      <w:iCs/>
                    </w:rPr>
                  </w:pPr>
                  <w:r w:rsidRPr="000A60D0">
                    <w:rPr>
                      <w:iCs/>
                    </w:rPr>
                    <w:t>2</w:t>
                  </w:r>
                </w:p>
              </w:tc>
            </w:tr>
          </w:tbl>
          <w:p w:rsidR="00E87C54" w:rsidRPr="000A60D0" w:rsidRDefault="00E87C54" w:rsidP="00C06B92"/>
          <w:p w:rsidR="00E87C54" w:rsidRPr="000A60D0" w:rsidRDefault="00E87C54" w:rsidP="00C06B92">
            <w:pPr>
              <w:jc w:val="center"/>
              <w:rPr>
                <w:szCs w:val="28"/>
              </w:rPr>
            </w:pPr>
            <w:r w:rsidRPr="000A60D0">
              <w:rPr>
                <w:szCs w:val="28"/>
              </w:rPr>
              <w:t xml:space="preserve">МИНИСТЕРСТВА, КОМИТЕТЫ, УПРАВЛЕНИЯ, ГОРОДА, РАЙОНЫ </w:t>
            </w:r>
          </w:p>
          <w:p w:rsidR="00E87C54" w:rsidRPr="000A60D0" w:rsidRDefault="00E87C54" w:rsidP="00C06B92">
            <w:pPr>
              <w:jc w:val="center"/>
            </w:pPr>
            <w:r w:rsidRPr="000A60D0">
              <w:rPr>
                <w:szCs w:val="28"/>
              </w:rPr>
              <w:t>И ДРУГИЕ НЕПОСРЕДСТВЕННЫЕ ПОЛУЧАТЕЛИ СРЕДСТВ ИЗ БЮДЖЕТА</w:t>
            </w:r>
          </w:p>
          <w:p w:rsidR="00E87C54" w:rsidRPr="000A60D0" w:rsidRDefault="00E87C54" w:rsidP="00C06B92">
            <w:r w:rsidRPr="000A60D0">
              <w:t>…</w:t>
            </w:r>
          </w:p>
          <w:p w:rsidR="00E87C54" w:rsidRPr="000A60D0" w:rsidRDefault="00E87C54" w:rsidP="00C06B92">
            <w:pPr>
              <w:jc w:val="both"/>
            </w:pPr>
            <w:r w:rsidRPr="000A60D0">
              <w:t>154 Государственная служба статистики Министерства экономического развития Приднестровской Молдавской Республики</w:t>
            </w:r>
          </w:p>
          <w:p w:rsidR="00E87C54" w:rsidRPr="000A60D0" w:rsidRDefault="00E87C54" w:rsidP="00C06B92">
            <w:pPr>
              <w:jc w:val="both"/>
            </w:pPr>
            <w:r w:rsidRPr="000A60D0">
              <w:t>…</w:t>
            </w:r>
          </w:p>
        </w:tc>
        <w:tc>
          <w:tcPr>
            <w:tcW w:w="4945" w:type="dxa"/>
            <w:tcBorders>
              <w:top w:val="single" w:sz="4" w:space="0" w:color="auto"/>
              <w:left w:val="single" w:sz="4" w:space="0" w:color="auto"/>
              <w:bottom w:val="single" w:sz="4" w:space="0" w:color="auto"/>
              <w:right w:val="single" w:sz="4" w:space="0" w:color="auto"/>
            </w:tcBorders>
          </w:tcPr>
          <w:p w:rsidR="00E87C54" w:rsidRPr="000A60D0" w:rsidRDefault="00E87C54" w:rsidP="00C06B92">
            <w:pPr>
              <w:jc w:val="right"/>
            </w:pPr>
            <w:r w:rsidRPr="000A60D0">
              <w:t>Приложение № 10</w:t>
            </w:r>
          </w:p>
          <w:p w:rsidR="00E87C54" w:rsidRPr="000A60D0" w:rsidRDefault="00E87C54" w:rsidP="00C06B92">
            <w:pPr>
              <w:jc w:val="right"/>
            </w:pPr>
            <w:r w:rsidRPr="000A60D0">
              <w:t>к Закону Приднестровской Молдавской</w:t>
            </w:r>
          </w:p>
          <w:p w:rsidR="00E87C54" w:rsidRPr="000A60D0" w:rsidRDefault="00E87C54" w:rsidP="00C06B92">
            <w:pPr>
              <w:jc w:val="right"/>
            </w:pPr>
            <w:r w:rsidRPr="000A60D0">
              <w:t>Республики «О бюджетной классификации</w:t>
            </w:r>
          </w:p>
          <w:p w:rsidR="00E87C54" w:rsidRPr="000A60D0" w:rsidRDefault="00E87C54" w:rsidP="00C06B92">
            <w:pPr>
              <w:jc w:val="right"/>
            </w:pPr>
            <w:r w:rsidRPr="000A60D0">
              <w:t>Приднестровской Молдавской Республики»</w:t>
            </w:r>
          </w:p>
          <w:p w:rsidR="00E87C54" w:rsidRPr="000A60D0" w:rsidRDefault="00E87C54" w:rsidP="00C06B92">
            <w:pPr>
              <w:jc w:val="center"/>
            </w:pPr>
          </w:p>
          <w:p w:rsidR="00E87C54" w:rsidRPr="000A60D0" w:rsidRDefault="00E87C54" w:rsidP="00C06B92">
            <w:pPr>
              <w:jc w:val="center"/>
            </w:pPr>
            <w:r w:rsidRPr="000A60D0">
              <w:t xml:space="preserve">Перечень прямых получателей средств из республиканского бюджета </w:t>
            </w:r>
          </w:p>
          <w:tbl>
            <w:tblPr>
              <w:tblW w:w="0" w:type="auto"/>
              <w:tblCellSpacing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58"/>
              <w:gridCol w:w="3373"/>
            </w:tblGrid>
            <w:tr w:rsidR="00E87C54" w:rsidRPr="000A60D0" w:rsidTr="00C06B92">
              <w:trPr>
                <w:tblCellSpacing w:w="0" w:type="dxa"/>
              </w:trPr>
              <w:tc>
                <w:tcPr>
                  <w:tcW w:w="1123"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center"/>
                  </w:pPr>
                  <w:r w:rsidRPr="000A60D0">
                    <w:t>Код</w:t>
                  </w:r>
                </w:p>
              </w:tc>
              <w:tc>
                <w:tcPr>
                  <w:tcW w:w="3633"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center"/>
                  </w:pPr>
                  <w:r w:rsidRPr="000A60D0">
                    <w:rPr>
                      <w:iCs/>
                    </w:rPr>
                    <w:t>Наименование</w:t>
                  </w:r>
                </w:p>
              </w:tc>
            </w:tr>
            <w:tr w:rsidR="00E87C54" w:rsidRPr="000A60D0" w:rsidTr="00C06B92">
              <w:trPr>
                <w:tblCellSpacing w:w="0" w:type="dxa"/>
              </w:trPr>
              <w:tc>
                <w:tcPr>
                  <w:tcW w:w="1123"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center"/>
                  </w:pPr>
                  <w:r w:rsidRPr="000A60D0">
                    <w:t>1</w:t>
                  </w:r>
                </w:p>
              </w:tc>
              <w:tc>
                <w:tcPr>
                  <w:tcW w:w="3633" w:type="dxa"/>
                  <w:tcBorders>
                    <w:top w:val="single" w:sz="6" w:space="0" w:color="000000"/>
                    <w:left w:val="single" w:sz="6" w:space="0" w:color="000000"/>
                    <w:bottom w:val="single" w:sz="6" w:space="0" w:color="000000"/>
                    <w:right w:val="single" w:sz="6" w:space="0" w:color="000000"/>
                  </w:tcBorders>
                  <w:hideMark/>
                </w:tcPr>
                <w:p w:rsidR="00E87C54" w:rsidRPr="000A60D0" w:rsidRDefault="00E87C54" w:rsidP="00C06B92">
                  <w:pPr>
                    <w:jc w:val="center"/>
                    <w:rPr>
                      <w:iCs/>
                    </w:rPr>
                  </w:pPr>
                  <w:r w:rsidRPr="000A60D0">
                    <w:rPr>
                      <w:iCs/>
                    </w:rPr>
                    <w:t>2</w:t>
                  </w:r>
                </w:p>
              </w:tc>
            </w:tr>
          </w:tbl>
          <w:p w:rsidR="00E87C54" w:rsidRPr="000A60D0" w:rsidRDefault="00E87C54" w:rsidP="00C06B92">
            <w:pPr>
              <w:jc w:val="center"/>
            </w:pPr>
          </w:p>
          <w:p w:rsidR="00E87C54" w:rsidRPr="000A60D0" w:rsidRDefault="00E87C54" w:rsidP="00C06B92">
            <w:pPr>
              <w:jc w:val="center"/>
              <w:rPr>
                <w:szCs w:val="28"/>
              </w:rPr>
            </w:pPr>
            <w:r w:rsidRPr="000A60D0">
              <w:rPr>
                <w:szCs w:val="28"/>
              </w:rPr>
              <w:t xml:space="preserve">МИНИСТЕРСТВА, КОМИТЕТЫ, УПРАВЛЕНИЯ, ГОРОДА, РАЙОНЫ </w:t>
            </w:r>
          </w:p>
          <w:p w:rsidR="00E87C54" w:rsidRPr="000A60D0" w:rsidRDefault="00E87C54" w:rsidP="00C06B92">
            <w:pPr>
              <w:jc w:val="center"/>
            </w:pPr>
            <w:r w:rsidRPr="000A60D0">
              <w:rPr>
                <w:szCs w:val="28"/>
              </w:rPr>
              <w:t>И ДРУГИЕ НЕПОСРЕДСТВЕННЫЕ ПОЛУЧАТЕЛИ СРЕДСТВ ИЗ БЮДЖЕТА</w:t>
            </w:r>
          </w:p>
          <w:p w:rsidR="00E87C54" w:rsidRPr="000A60D0" w:rsidRDefault="00E87C54" w:rsidP="00C06B92">
            <w:r w:rsidRPr="000A60D0">
              <w:t>…</w:t>
            </w:r>
          </w:p>
          <w:p w:rsidR="00E87C54" w:rsidRPr="000A60D0" w:rsidRDefault="00E87C54" w:rsidP="00C06B92">
            <w:pPr>
              <w:rPr>
                <w:b/>
                <w:bCs/>
              </w:rPr>
            </w:pPr>
            <w:r w:rsidRPr="000A60D0">
              <w:rPr>
                <w:b/>
                <w:bCs/>
              </w:rPr>
              <w:t>Исключена.</w:t>
            </w:r>
          </w:p>
          <w:p w:rsidR="00E87C54" w:rsidRPr="000A60D0" w:rsidRDefault="00E87C54" w:rsidP="00C06B92">
            <w:pPr>
              <w:jc w:val="both"/>
            </w:pPr>
            <w:r w:rsidRPr="000A60D0">
              <w:t>…</w:t>
            </w:r>
          </w:p>
          <w:p w:rsidR="00E87C54" w:rsidRPr="000A60D0" w:rsidRDefault="00E87C54" w:rsidP="00C06B92"/>
        </w:tc>
      </w:tr>
      <w:tr w:rsidR="00E87C54" w:rsidRPr="003868BD" w:rsidTr="00C06B92">
        <w:trPr>
          <w:trHeight w:val="274"/>
        </w:trPr>
        <w:tc>
          <w:tcPr>
            <w:tcW w:w="4967" w:type="dxa"/>
            <w:tcBorders>
              <w:top w:val="single" w:sz="4" w:space="0" w:color="auto"/>
              <w:left w:val="single" w:sz="4" w:space="0" w:color="auto"/>
              <w:bottom w:val="single" w:sz="4" w:space="0" w:color="auto"/>
              <w:right w:val="single" w:sz="4" w:space="0" w:color="auto"/>
            </w:tcBorders>
          </w:tcPr>
          <w:p w:rsidR="00E87C54" w:rsidRPr="000A60D0" w:rsidRDefault="00E87C54" w:rsidP="00C06B92">
            <w:pPr>
              <w:jc w:val="right"/>
            </w:pPr>
            <w:r w:rsidRPr="000A60D0">
              <w:t>Приложение № 11</w:t>
            </w:r>
          </w:p>
          <w:p w:rsidR="00E87C54" w:rsidRPr="000A60D0" w:rsidRDefault="00E87C54" w:rsidP="00C06B92">
            <w:pPr>
              <w:jc w:val="right"/>
            </w:pPr>
            <w:r w:rsidRPr="000A60D0">
              <w:t>к Закону Приднестровской Молдавской</w:t>
            </w:r>
          </w:p>
          <w:p w:rsidR="00E87C54" w:rsidRPr="000A60D0" w:rsidRDefault="00E87C54" w:rsidP="00C06B92">
            <w:pPr>
              <w:jc w:val="right"/>
            </w:pPr>
            <w:r w:rsidRPr="000A60D0">
              <w:t>Республики «О бюджетной классификации</w:t>
            </w:r>
          </w:p>
          <w:p w:rsidR="00E87C54" w:rsidRPr="000A60D0" w:rsidRDefault="00E87C54" w:rsidP="00C06B92">
            <w:pPr>
              <w:jc w:val="right"/>
            </w:pPr>
            <w:r w:rsidRPr="000A60D0">
              <w:t>Приднестровской Молдавской Республики»</w:t>
            </w:r>
          </w:p>
          <w:p w:rsidR="00E87C54" w:rsidRPr="000A60D0" w:rsidRDefault="00E87C54" w:rsidP="00C06B92">
            <w:pPr>
              <w:jc w:val="center"/>
            </w:pPr>
          </w:p>
          <w:p w:rsidR="00E87C54" w:rsidRPr="000A60D0" w:rsidRDefault="00E87C54" w:rsidP="00C06B92">
            <w:pPr>
              <w:jc w:val="center"/>
              <w:rPr>
                <w:szCs w:val="28"/>
              </w:rPr>
            </w:pPr>
            <w:r w:rsidRPr="000A60D0">
              <w:t xml:space="preserve">Перечень </w:t>
            </w:r>
            <w:r w:rsidRPr="000A60D0">
              <w:rPr>
                <w:szCs w:val="28"/>
              </w:rPr>
              <w:t xml:space="preserve">предприятий, учреждений, организаций, платежей и </w:t>
            </w:r>
          </w:p>
          <w:p w:rsidR="00E87C54" w:rsidRPr="000A60D0" w:rsidRDefault="00E87C54" w:rsidP="00C06B92">
            <w:pPr>
              <w:jc w:val="center"/>
            </w:pPr>
            <w:r w:rsidRPr="000A60D0">
              <w:rPr>
                <w:szCs w:val="28"/>
              </w:rPr>
              <w:t>мероприятий, финансируемых из бюджета</w:t>
            </w:r>
            <w:r w:rsidRPr="000A60D0">
              <w:t xml:space="preserve"> </w:t>
            </w:r>
          </w:p>
          <w:p w:rsidR="00E87C54" w:rsidRPr="000A60D0" w:rsidRDefault="00E87C54" w:rsidP="00C06B92">
            <w:r w:rsidRPr="000A60D0">
              <w:lastRenderedPageBreak/>
              <w:t>…</w:t>
            </w:r>
          </w:p>
          <w:p w:rsidR="00E87C54" w:rsidRPr="000A60D0" w:rsidRDefault="00E87C54" w:rsidP="00C06B92">
            <w:pPr>
              <w:jc w:val="both"/>
            </w:pPr>
            <w:r w:rsidRPr="000A60D0">
              <w:t>018 Управления статистики</w:t>
            </w:r>
          </w:p>
          <w:p w:rsidR="00E87C54" w:rsidRPr="000A60D0" w:rsidRDefault="00E87C54" w:rsidP="00C06B92">
            <w:pPr>
              <w:jc w:val="both"/>
            </w:pPr>
            <w:r w:rsidRPr="000A60D0">
              <w:t>…</w:t>
            </w:r>
          </w:p>
        </w:tc>
        <w:tc>
          <w:tcPr>
            <w:tcW w:w="4945" w:type="dxa"/>
            <w:tcBorders>
              <w:top w:val="single" w:sz="4" w:space="0" w:color="auto"/>
              <w:left w:val="single" w:sz="4" w:space="0" w:color="auto"/>
              <w:bottom w:val="single" w:sz="4" w:space="0" w:color="auto"/>
              <w:right w:val="single" w:sz="4" w:space="0" w:color="auto"/>
            </w:tcBorders>
          </w:tcPr>
          <w:p w:rsidR="00E87C54" w:rsidRPr="000A60D0" w:rsidRDefault="00E87C54" w:rsidP="00C06B92">
            <w:pPr>
              <w:jc w:val="right"/>
            </w:pPr>
            <w:r w:rsidRPr="000A60D0">
              <w:lastRenderedPageBreak/>
              <w:t>Приложение № 11</w:t>
            </w:r>
          </w:p>
          <w:p w:rsidR="00E87C54" w:rsidRPr="000A60D0" w:rsidRDefault="00E87C54" w:rsidP="00C06B92">
            <w:pPr>
              <w:jc w:val="right"/>
            </w:pPr>
            <w:r w:rsidRPr="000A60D0">
              <w:t>к Закону Приднестровской Молдавской</w:t>
            </w:r>
          </w:p>
          <w:p w:rsidR="00E87C54" w:rsidRPr="000A60D0" w:rsidRDefault="00E87C54" w:rsidP="00C06B92">
            <w:pPr>
              <w:jc w:val="right"/>
            </w:pPr>
            <w:r w:rsidRPr="000A60D0">
              <w:t>Республики «О бюджетной классификации</w:t>
            </w:r>
          </w:p>
          <w:p w:rsidR="00E87C54" w:rsidRPr="000A60D0" w:rsidRDefault="00E87C54" w:rsidP="00C06B92">
            <w:pPr>
              <w:jc w:val="right"/>
            </w:pPr>
            <w:r w:rsidRPr="000A60D0">
              <w:t>Приднестровской Молдавской Республики»</w:t>
            </w:r>
          </w:p>
          <w:p w:rsidR="00E87C54" w:rsidRPr="000A60D0" w:rsidRDefault="00E87C54" w:rsidP="00C06B92">
            <w:pPr>
              <w:jc w:val="center"/>
            </w:pPr>
          </w:p>
          <w:p w:rsidR="00E87C54" w:rsidRPr="000A60D0" w:rsidRDefault="00E87C54" w:rsidP="00C06B92">
            <w:pPr>
              <w:jc w:val="center"/>
              <w:rPr>
                <w:szCs w:val="28"/>
              </w:rPr>
            </w:pPr>
            <w:r w:rsidRPr="000A60D0">
              <w:t xml:space="preserve">Перечень </w:t>
            </w:r>
            <w:r w:rsidRPr="000A60D0">
              <w:rPr>
                <w:szCs w:val="28"/>
              </w:rPr>
              <w:t xml:space="preserve">предприятий, учреждений, организаций, платежей и </w:t>
            </w:r>
          </w:p>
          <w:p w:rsidR="00E87C54" w:rsidRPr="000A60D0" w:rsidRDefault="00E87C54" w:rsidP="00C06B92">
            <w:pPr>
              <w:jc w:val="center"/>
            </w:pPr>
            <w:r w:rsidRPr="000A60D0">
              <w:rPr>
                <w:szCs w:val="28"/>
              </w:rPr>
              <w:t>мероприятий, финансируемых из бюджета</w:t>
            </w:r>
            <w:r w:rsidRPr="000A60D0">
              <w:t xml:space="preserve"> </w:t>
            </w:r>
          </w:p>
          <w:p w:rsidR="00E87C54" w:rsidRPr="000A60D0" w:rsidRDefault="00E87C54" w:rsidP="00C06B92">
            <w:r w:rsidRPr="000A60D0">
              <w:lastRenderedPageBreak/>
              <w:t>…</w:t>
            </w:r>
          </w:p>
          <w:p w:rsidR="00E87C54" w:rsidRPr="000A60D0" w:rsidRDefault="00E87C54" w:rsidP="00C06B92">
            <w:pPr>
              <w:rPr>
                <w:b/>
                <w:bCs/>
              </w:rPr>
            </w:pPr>
            <w:r w:rsidRPr="000A60D0">
              <w:rPr>
                <w:b/>
                <w:bCs/>
              </w:rPr>
              <w:t>Исключена.</w:t>
            </w:r>
          </w:p>
          <w:p w:rsidR="00E87C54" w:rsidRPr="003868BD" w:rsidRDefault="00E87C54" w:rsidP="00C06B92">
            <w:pPr>
              <w:jc w:val="both"/>
            </w:pPr>
            <w:r w:rsidRPr="000A60D0">
              <w:t>…</w:t>
            </w:r>
          </w:p>
        </w:tc>
      </w:tr>
    </w:tbl>
    <w:p w:rsidR="00805BF6" w:rsidRDefault="00805BF6" w:rsidP="00351E67">
      <w:bookmarkStart w:id="0" w:name="_GoBack"/>
      <w:bookmarkEnd w:id="0"/>
    </w:p>
    <w:sectPr w:rsidR="00805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8"/>
  </w:num>
  <w:num w:numId="4">
    <w:abstractNumId w:val="3"/>
  </w:num>
  <w:num w:numId="5">
    <w:abstractNumId w:val="2"/>
  </w:num>
  <w:num w:numId="6">
    <w:abstractNumId w:val="0"/>
  </w:num>
  <w:num w:numId="7">
    <w:abstractNumId w:val="7"/>
  </w:num>
  <w:num w:numId="8">
    <w:abstractNumId w:val="6"/>
  </w:num>
  <w:num w:numId="9">
    <w:abstractNumId w:val="5"/>
  </w:num>
  <w:num w:numId="10">
    <w:abstractNumId w:val="12"/>
  </w:num>
  <w:num w:numId="11">
    <w:abstractNumId w:val="4"/>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75ED"/>
    <w:rsid w:val="001D281A"/>
    <w:rsid w:val="001D3F15"/>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D06D77"/>
    <w:rsid w:val="00D15570"/>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BEE2"/>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w:basedOn w:val="a0"/>
    <w:uiPriority w:val="99"/>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00E95-74D5-4C91-A18A-CB47CD02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316</Words>
  <Characters>1803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9</cp:revision>
  <cp:lastPrinted>2026-01-30T06:58:00Z</cp:lastPrinted>
  <dcterms:created xsi:type="dcterms:W3CDTF">2026-02-09T12:39:00Z</dcterms:created>
  <dcterms:modified xsi:type="dcterms:W3CDTF">2026-02-10T08:50:00Z</dcterms:modified>
</cp:coreProperties>
</file>