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4FA" w:rsidRPr="003B2CA2" w:rsidRDefault="005434FA" w:rsidP="005434FA">
      <w:pPr>
        <w:jc w:val="center"/>
        <w:rPr>
          <w:rFonts w:eastAsia="Calibri"/>
          <w:b/>
          <w:szCs w:val="24"/>
        </w:rPr>
      </w:pPr>
      <w:r w:rsidRPr="003B2CA2">
        <w:rPr>
          <w:rFonts w:eastAsia="Calibri"/>
          <w:b/>
          <w:szCs w:val="24"/>
        </w:rPr>
        <w:t>Сравнительная таблица</w:t>
      </w:r>
    </w:p>
    <w:p w:rsidR="005434FA" w:rsidRPr="003B2CA2" w:rsidRDefault="005434FA" w:rsidP="005434FA">
      <w:pPr>
        <w:pStyle w:val="a4"/>
        <w:shd w:val="clear" w:color="auto" w:fill="FFFFFF"/>
        <w:spacing w:before="0" w:beforeAutospacing="0" w:after="0" w:afterAutospacing="0"/>
        <w:jc w:val="center"/>
        <w:rPr>
          <w:rStyle w:val="a3"/>
          <w:b w:val="0"/>
          <w:bCs w:val="0"/>
          <w:color w:val="000000"/>
        </w:rPr>
      </w:pPr>
      <w:r w:rsidRPr="003B2CA2">
        <w:rPr>
          <w:rFonts w:eastAsia="Calibri"/>
          <w:b/>
        </w:rPr>
        <w:t xml:space="preserve">к проекту </w:t>
      </w:r>
      <w:r w:rsidRPr="003B2CA2">
        <w:rPr>
          <w:rStyle w:val="a3"/>
          <w:color w:val="000000"/>
        </w:rPr>
        <w:t xml:space="preserve">закона Приднестровской Молдавской Республики «О внесении </w:t>
      </w:r>
      <w:r>
        <w:rPr>
          <w:rStyle w:val="a3"/>
          <w:color w:val="000000"/>
        </w:rPr>
        <w:t>дополнения</w:t>
      </w:r>
      <w:r w:rsidRPr="003B2CA2">
        <w:rPr>
          <w:rStyle w:val="a3"/>
          <w:color w:val="000000"/>
        </w:rPr>
        <w:t xml:space="preserve"> в Закон Приднестровской Молдавской Республики «</w:t>
      </w:r>
      <w:r>
        <w:rPr>
          <w:rStyle w:val="a3"/>
          <w:color w:val="000000"/>
        </w:rPr>
        <w:t>Регламент Верховного Совета Приднестровской Молдавской Республики</w:t>
      </w:r>
      <w:r w:rsidRPr="003B2CA2">
        <w:rPr>
          <w:rStyle w:val="a3"/>
          <w:color w:val="000000"/>
        </w:rPr>
        <w:t>»</w:t>
      </w:r>
    </w:p>
    <w:p w:rsidR="005434FA" w:rsidRPr="003B2CA2" w:rsidRDefault="005434FA" w:rsidP="005434FA">
      <w:pPr>
        <w:jc w:val="center"/>
        <w:rPr>
          <w:rFonts w:eastAsia="Calibri"/>
          <w:b/>
          <w:szCs w:val="24"/>
          <w:highlight w:val="yellow"/>
        </w:rPr>
      </w:pPr>
    </w:p>
    <w:tbl>
      <w:tblPr>
        <w:tblStyle w:val="6"/>
        <w:tblW w:w="0" w:type="auto"/>
        <w:tblLook w:val="04A0" w:firstRow="1" w:lastRow="0" w:firstColumn="1" w:lastColumn="0" w:noHBand="0" w:noVBand="1"/>
      </w:tblPr>
      <w:tblGrid>
        <w:gridCol w:w="4672"/>
        <w:gridCol w:w="4673"/>
      </w:tblGrid>
      <w:tr w:rsidR="005434FA" w:rsidRPr="005F4766" w:rsidTr="000073D3">
        <w:trPr>
          <w:trHeight w:val="308"/>
        </w:trPr>
        <w:tc>
          <w:tcPr>
            <w:tcW w:w="9345" w:type="dxa"/>
            <w:gridSpan w:val="2"/>
            <w:tcBorders>
              <w:top w:val="single" w:sz="4" w:space="0" w:color="auto"/>
              <w:left w:val="single" w:sz="4" w:space="0" w:color="auto"/>
              <w:bottom w:val="single" w:sz="4" w:space="0" w:color="auto"/>
              <w:right w:val="single" w:sz="4" w:space="0" w:color="auto"/>
            </w:tcBorders>
            <w:hideMark/>
          </w:tcPr>
          <w:p w:rsidR="005434FA" w:rsidRPr="005F4766" w:rsidRDefault="005434FA" w:rsidP="000073D3">
            <w:pPr>
              <w:ind w:firstLine="709"/>
              <w:jc w:val="center"/>
              <w:rPr>
                <w:rFonts w:eastAsia="Calibri"/>
                <w:b/>
                <w:szCs w:val="24"/>
              </w:rPr>
            </w:pPr>
            <w:r>
              <w:rPr>
                <w:rFonts w:eastAsia="Calibri"/>
                <w:b/>
                <w:szCs w:val="24"/>
              </w:rPr>
              <w:t>Закон Приднестровской Молдавской Республики «Регламент Верховного Совета Приднестровской Молдавской Республики»</w:t>
            </w:r>
          </w:p>
        </w:tc>
      </w:tr>
      <w:tr w:rsidR="005434FA" w:rsidRPr="005F4766" w:rsidTr="000073D3">
        <w:trPr>
          <w:trHeight w:val="321"/>
        </w:trPr>
        <w:tc>
          <w:tcPr>
            <w:tcW w:w="4672" w:type="dxa"/>
            <w:tcBorders>
              <w:top w:val="single" w:sz="4" w:space="0" w:color="auto"/>
              <w:left w:val="single" w:sz="4" w:space="0" w:color="auto"/>
              <w:bottom w:val="single" w:sz="4" w:space="0" w:color="auto"/>
              <w:right w:val="single" w:sz="4" w:space="0" w:color="auto"/>
            </w:tcBorders>
          </w:tcPr>
          <w:p w:rsidR="005434FA" w:rsidRPr="005F4766" w:rsidRDefault="005434FA" w:rsidP="000073D3">
            <w:pPr>
              <w:ind w:firstLine="709"/>
              <w:rPr>
                <w:rFonts w:eastAsia="Calibri"/>
                <w:b/>
                <w:szCs w:val="24"/>
              </w:rPr>
            </w:pPr>
            <w:r w:rsidRPr="005F4766">
              <w:rPr>
                <w:rFonts w:eastAsia="Calibri"/>
                <w:b/>
                <w:szCs w:val="24"/>
              </w:rPr>
              <w:t>действующая редакция</w:t>
            </w:r>
          </w:p>
        </w:tc>
        <w:tc>
          <w:tcPr>
            <w:tcW w:w="4673" w:type="dxa"/>
            <w:tcBorders>
              <w:top w:val="single" w:sz="4" w:space="0" w:color="auto"/>
              <w:left w:val="single" w:sz="4" w:space="0" w:color="auto"/>
              <w:bottom w:val="single" w:sz="4" w:space="0" w:color="auto"/>
              <w:right w:val="single" w:sz="4" w:space="0" w:color="auto"/>
            </w:tcBorders>
          </w:tcPr>
          <w:p w:rsidR="005434FA" w:rsidRPr="005F4766" w:rsidRDefault="005434FA" w:rsidP="000073D3">
            <w:pPr>
              <w:ind w:firstLine="709"/>
              <w:rPr>
                <w:rFonts w:eastAsia="Calibri"/>
                <w:b/>
                <w:szCs w:val="24"/>
              </w:rPr>
            </w:pPr>
            <w:r w:rsidRPr="005F4766">
              <w:rPr>
                <w:rFonts w:eastAsia="Calibri"/>
                <w:b/>
                <w:szCs w:val="24"/>
              </w:rPr>
              <w:t>предлагаемая редакция</w:t>
            </w:r>
          </w:p>
        </w:tc>
      </w:tr>
      <w:tr w:rsidR="005434FA" w:rsidRPr="005F4766" w:rsidTr="000073D3">
        <w:trPr>
          <w:trHeight w:val="5783"/>
        </w:trPr>
        <w:tc>
          <w:tcPr>
            <w:tcW w:w="4672" w:type="dxa"/>
            <w:tcBorders>
              <w:top w:val="single" w:sz="4" w:space="0" w:color="auto"/>
              <w:left w:val="single" w:sz="4" w:space="0" w:color="auto"/>
              <w:bottom w:val="single" w:sz="4" w:space="0" w:color="auto"/>
              <w:right w:val="single" w:sz="4" w:space="0" w:color="auto"/>
            </w:tcBorders>
          </w:tcPr>
          <w:p w:rsidR="005434FA" w:rsidRPr="00CF5DCA" w:rsidRDefault="005434FA" w:rsidP="000073D3">
            <w:pPr>
              <w:ind w:firstLine="709"/>
              <w:rPr>
                <w:szCs w:val="28"/>
              </w:rPr>
            </w:pPr>
            <w:r w:rsidRPr="00CF5DCA">
              <w:rPr>
                <w:b/>
                <w:szCs w:val="28"/>
              </w:rPr>
              <w:t>Статья 101</w:t>
            </w:r>
            <w:r w:rsidRPr="00CF5DCA">
              <w:rPr>
                <w:szCs w:val="28"/>
              </w:rPr>
              <w:t>. Толкование законов и правовых актов Верховного Совета, не имеющих законодательного характера</w:t>
            </w:r>
          </w:p>
          <w:p w:rsidR="005434FA" w:rsidRPr="00CF5DCA" w:rsidRDefault="005434FA" w:rsidP="000073D3">
            <w:pPr>
              <w:ind w:firstLine="709"/>
              <w:rPr>
                <w:szCs w:val="28"/>
              </w:rPr>
            </w:pPr>
            <w:r w:rsidRPr="00CF5DCA">
              <w:rPr>
                <w:szCs w:val="28"/>
              </w:rPr>
              <w:t>…</w:t>
            </w:r>
          </w:p>
          <w:p w:rsidR="005434FA" w:rsidRPr="00CF5DCA" w:rsidRDefault="005434FA" w:rsidP="000073D3">
            <w:pPr>
              <w:ind w:firstLine="709"/>
              <w:rPr>
                <w:szCs w:val="28"/>
              </w:rPr>
            </w:pPr>
            <w:r w:rsidRPr="00CF5DCA">
              <w:rPr>
                <w:szCs w:val="28"/>
              </w:rPr>
              <w:t>8. В случае внесения в Верховный Совет органами государственной власти и управления, организациями запроса о разъяснении какого-либо положения закона (подзаконного акта Верховного Совета) Председатель Верховного Совета поручает подготовить такое разъяснение соответствующему профильному комитету, который готовит такое разъяснение и выносит его на рассмотрение Президиума Верховного Совета.</w:t>
            </w:r>
          </w:p>
          <w:p w:rsidR="005434FA" w:rsidRPr="000F6A75" w:rsidRDefault="005434FA" w:rsidP="000073D3">
            <w:pPr>
              <w:ind w:firstLine="709"/>
              <w:rPr>
                <w:szCs w:val="28"/>
              </w:rPr>
            </w:pPr>
            <w:r w:rsidRPr="00CF5DCA">
              <w:rPr>
                <w:szCs w:val="28"/>
              </w:rPr>
              <w:t>По поручению Президиума Верховного Совета соответствующее разъяснение (за подписью председательствующего на заседании Президиума Верховного Совета) направляется субъекту, внесшему запрос.</w:t>
            </w:r>
          </w:p>
        </w:tc>
        <w:tc>
          <w:tcPr>
            <w:tcW w:w="4673" w:type="dxa"/>
            <w:tcBorders>
              <w:top w:val="single" w:sz="4" w:space="0" w:color="auto"/>
              <w:left w:val="single" w:sz="4" w:space="0" w:color="auto"/>
              <w:bottom w:val="single" w:sz="4" w:space="0" w:color="auto"/>
              <w:right w:val="single" w:sz="4" w:space="0" w:color="auto"/>
            </w:tcBorders>
          </w:tcPr>
          <w:p w:rsidR="005434FA" w:rsidRPr="00CF5DCA" w:rsidRDefault="005434FA" w:rsidP="000073D3">
            <w:pPr>
              <w:ind w:firstLine="709"/>
              <w:rPr>
                <w:szCs w:val="28"/>
              </w:rPr>
            </w:pPr>
            <w:r w:rsidRPr="00CF5DCA">
              <w:rPr>
                <w:b/>
                <w:szCs w:val="28"/>
              </w:rPr>
              <w:t>Статья 101</w:t>
            </w:r>
            <w:r w:rsidRPr="00CF5DCA">
              <w:rPr>
                <w:szCs w:val="28"/>
              </w:rPr>
              <w:t>. Толкование законов и правовых актов Верховного Совета, не имеющих законодательного характера</w:t>
            </w:r>
          </w:p>
          <w:p w:rsidR="005434FA" w:rsidRPr="00CF5DCA" w:rsidRDefault="005434FA" w:rsidP="000073D3">
            <w:pPr>
              <w:ind w:firstLine="709"/>
              <w:rPr>
                <w:szCs w:val="28"/>
              </w:rPr>
            </w:pPr>
            <w:r w:rsidRPr="00CF5DCA">
              <w:rPr>
                <w:szCs w:val="28"/>
              </w:rPr>
              <w:t>…</w:t>
            </w:r>
          </w:p>
          <w:p w:rsidR="005434FA" w:rsidRPr="00CF5DCA" w:rsidRDefault="005434FA" w:rsidP="000073D3">
            <w:pPr>
              <w:ind w:firstLine="709"/>
              <w:rPr>
                <w:szCs w:val="28"/>
              </w:rPr>
            </w:pPr>
            <w:r w:rsidRPr="00CF5DCA">
              <w:rPr>
                <w:szCs w:val="28"/>
              </w:rPr>
              <w:t>8. В случае внесения в Верховный Совет органами государственной власти и управления,</w:t>
            </w:r>
            <w:r>
              <w:rPr>
                <w:szCs w:val="28"/>
              </w:rPr>
              <w:t xml:space="preserve"> </w:t>
            </w:r>
            <w:r w:rsidRPr="00CF5DCA">
              <w:rPr>
                <w:b/>
                <w:szCs w:val="28"/>
              </w:rPr>
              <w:t>органами местного самоуправления</w:t>
            </w:r>
            <w:r w:rsidRPr="00CF5DCA">
              <w:rPr>
                <w:szCs w:val="28"/>
              </w:rPr>
              <w:t>, организациями запроса о разъяснении какого-либо положения закона (подзаконного акта Верховного Совета) Председатель Верховного Совета поручает подготовить такое разъяснение соответствующему профильному комитету, который готовит такое разъяснение и выносит его на рассмотрение Президиума Верховного Совета.</w:t>
            </w:r>
          </w:p>
          <w:p w:rsidR="005434FA" w:rsidRPr="00CF5DCA" w:rsidRDefault="005434FA" w:rsidP="000073D3">
            <w:pPr>
              <w:ind w:firstLine="709"/>
              <w:rPr>
                <w:szCs w:val="28"/>
              </w:rPr>
            </w:pPr>
            <w:r w:rsidRPr="00CF5DCA">
              <w:rPr>
                <w:szCs w:val="28"/>
              </w:rPr>
              <w:t>По поручению Президиума Верховного Совета соответствующее разъяснение (за подписью председательствующего на заседании Президиума Верховного Совета) направляется субъекту, внесшему запрос.</w:t>
            </w:r>
          </w:p>
        </w:tc>
      </w:tr>
    </w:tbl>
    <w:p w:rsidR="00805BF6" w:rsidRPr="00CF7A7A" w:rsidRDefault="00805BF6" w:rsidP="00CF7A7A">
      <w:bookmarkStart w:id="0" w:name="_GoBack"/>
      <w:bookmarkEnd w:id="0"/>
    </w:p>
    <w:sectPr w:rsidR="00805BF6" w:rsidRPr="00CF7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
  </w:num>
  <w:num w:numId="3">
    <w:abstractNumId w:val="8"/>
  </w:num>
  <w:num w:numId="4">
    <w:abstractNumId w:val="3"/>
  </w:num>
  <w:num w:numId="5">
    <w:abstractNumId w:val="2"/>
  </w:num>
  <w:num w:numId="6">
    <w:abstractNumId w:val="0"/>
  </w:num>
  <w:num w:numId="7">
    <w:abstractNumId w:val="7"/>
  </w:num>
  <w:num w:numId="8">
    <w:abstractNumId w:val="6"/>
  </w:num>
  <w:num w:numId="9">
    <w:abstractNumId w:val="5"/>
  </w:num>
  <w:num w:numId="10">
    <w:abstractNumId w:val="12"/>
  </w:num>
  <w:num w:numId="11">
    <w:abstractNumId w:val="4"/>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75ED"/>
    <w:rsid w:val="001D281A"/>
    <w:rsid w:val="001D3F15"/>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w:basedOn w:val="a0"/>
    <w:uiPriority w:val="99"/>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29792-8D40-4D86-8C91-269CC2E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12</cp:revision>
  <cp:lastPrinted>2026-01-30T06:58:00Z</cp:lastPrinted>
  <dcterms:created xsi:type="dcterms:W3CDTF">2026-02-09T12:39:00Z</dcterms:created>
  <dcterms:modified xsi:type="dcterms:W3CDTF">2026-02-10T13:58:00Z</dcterms:modified>
</cp:coreProperties>
</file>