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A0" w:rsidRDefault="00E31DA0" w:rsidP="00E31DA0">
      <w:pPr>
        <w:jc w:val="center"/>
        <w:rPr>
          <w:b/>
          <w:sz w:val="28"/>
          <w:szCs w:val="28"/>
        </w:rPr>
      </w:pPr>
      <w:r>
        <w:rPr>
          <w:b/>
          <w:sz w:val="28"/>
          <w:szCs w:val="28"/>
        </w:rPr>
        <w:t>Сравнительная таблица</w:t>
      </w:r>
    </w:p>
    <w:p w:rsidR="00E31DA0" w:rsidRDefault="00E31DA0" w:rsidP="00E31DA0">
      <w:pPr>
        <w:jc w:val="center"/>
        <w:rPr>
          <w:sz w:val="28"/>
          <w:szCs w:val="24"/>
        </w:rPr>
      </w:pPr>
      <w:r>
        <w:rPr>
          <w:sz w:val="28"/>
          <w:szCs w:val="24"/>
        </w:rPr>
        <w:t>к проекту</w:t>
      </w:r>
      <w:r w:rsidRPr="00A50F88">
        <w:rPr>
          <w:sz w:val="28"/>
          <w:szCs w:val="24"/>
        </w:rPr>
        <w:t xml:space="preserve"> </w:t>
      </w:r>
      <w:r>
        <w:rPr>
          <w:sz w:val="28"/>
          <w:szCs w:val="24"/>
        </w:rPr>
        <w:t>З</w:t>
      </w:r>
      <w:r w:rsidRPr="00A50F88">
        <w:rPr>
          <w:sz w:val="28"/>
          <w:szCs w:val="24"/>
        </w:rPr>
        <w:t>акона Приднестровской Молдавской Рес</w:t>
      </w:r>
      <w:r>
        <w:rPr>
          <w:sz w:val="28"/>
          <w:szCs w:val="24"/>
        </w:rPr>
        <w:t xml:space="preserve">публики </w:t>
      </w:r>
    </w:p>
    <w:p w:rsidR="00E31DA0" w:rsidRDefault="00E31DA0" w:rsidP="00E31DA0">
      <w:pPr>
        <w:jc w:val="center"/>
        <w:rPr>
          <w:b/>
          <w:sz w:val="28"/>
          <w:szCs w:val="24"/>
        </w:rPr>
      </w:pPr>
      <w:r w:rsidRPr="00A50F88">
        <w:rPr>
          <w:b/>
          <w:sz w:val="28"/>
          <w:szCs w:val="24"/>
        </w:rPr>
        <w:t xml:space="preserve">«О внесении </w:t>
      </w:r>
      <w:r w:rsidRPr="005F3019">
        <w:rPr>
          <w:b/>
          <w:sz w:val="28"/>
          <w:szCs w:val="24"/>
        </w:rPr>
        <w:t>изменения</w:t>
      </w:r>
      <w:r>
        <w:rPr>
          <w:b/>
          <w:sz w:val="28"/>
          <w:szCs w:val="24"/>
        </w:rPr>
        <w:t xml:space="preserve"> </w:t>
      </w:r>
      <w:r w:rsidRPr="00A50F88">
        <w:rPr>
          <w:b/>
          <w:sz w:val="28"/>
          <w:szCs w:val="24"/>
        </w:rPr>
        <w:t>в</w:t>
      </w:r>
      <w:r>
        <w:rPr>
          <w:b/>
          <w:sz w:val="28"/>
          <w:szCs w:val="24"/>
        </w:rPr>
        <w:t xml:space="preserve"> Закон Приднестровской Молдавской Республики «О государственной тайне»</w:t>
      </w:r>
    </w:p>
    <w:p w:rsidR="00E31DA0" w:rsidRDefault="00E31DA0" w:rsidP="00E31DA0">
      <w:pPr>
        <w:jc w:val="center"/>
        <w:rPr>
          <w:b/>
          <w:sz w:val="28"/>
          <w:szCs w:val="28"/>
        </w:rPr>
      </w:pPr>
    </w:p>
    <w:tbl>
      <w:tblPr>
        <w:tblStyle w:val="ad"/>
        <w:tblW w:w="9923" w:type="dxa"/>
        <w:tblInd w:w="-572" w:type="dxa"/>
        <w:tblLook w:val="04A0" w:firstRow="1" w:lastRow="0" w:firstColumn="1" w:lastColumn="0" w:noHBand="0" w:noVBand="1"/>
      </w:tblPr>
      <w:tblGrid>
        <w:gridCol w:w="4962"/>
        <w:gridCol w:w="4961"/>
      </w:tblGrid>
      <w:tr w:rsidR="00E31DA0" w:rsidRPr="000D2CF7" w:rsidTr="00B93C04">
        <w:tc>
          <w:tcPr>
            <w:tcW w:w="4962" w:type="dxa"/>
          </w:tcPr>
          <w:p w:rsidR="00E31DA0" w:rsidRDefault="00E31DA0" w:rsidP="00B93C04">
            <w:pPr>
              <w:jc w:val="center"/>
              <w:rPr>
                <w:b/>
                <w:sz w:val="28"/>
                <w:szCs w:val="28"/>
              </w:rPr>
            </w:pPr>
            <w:r w:rsidRPr="000D2CF7">
              <w:rPr>
                <w:b/>
                <w:sz w:val="28"/>
                <w:szCs w:val="28"/>
              </w:rPr>
              <w:t>Действующая редакция</w:t>
            </w:r>
          </w:p>
          <w:p w:rsidR="00E31DA0" w:rsidRPr="000D2CF7" w:rsidRDefault="00E31DA0" w:rsidP="00B93C04">
            <w:pPr>
              <w:jc w:val="center"/>
              <w:rPr>
                <w:b/>
                <w:sz w:val="28"/>
                <w:szCs w:val="28"/>
              </w:rPr>
            </w:pPr>
          </w:p>
        </w:tc>
        <w:tc>
          <w:tcPr>
            <w:tcW w:w="4961" w:type="dxa"/>
          </w:tcPr>
          <w:p w:rsidR="00E31DA0" w:rsidRPr="000D2CF7" w:rsidRDefault="00E31DA0" w:rsidP="00B93C04">
            <w:pPr>
              <w:jc w:val="center"/>
              <w:rPr>
                <w:b/>
                <w:sz w:val="28"/>
                <w:szCs w:val="28"/>
              </w:rPr>
            </w:pPr>
            <w:r w:rsidRPr="000D2CF7">
              <w:rPr>
                <w:b/>
                <w:sz w:val="28"/>
                <w:szCs w:val="28"/>
              </w:rPr>
              <w:t>Предлагаемая редакция</w:t>
            </w:r>
          </w:p>
        </w:tc>
      </w:tr>
      <w:tr w:rsidR="00E31DA0" w:rsidRPr="000D2CF7" w:rsidTr="00B93C04">
        <w:tc>
          <w:tcPr>
            <w:tcW w:w="4962" w:type="dxa"/>
          </w:tcPr>
          <w:p w:rsidR="00E31DA0" w:rsidRPr="00B30124" w:rsidRDefault="00E31DA0" w:rsidP="00B93C04">
            <w:pPr>
              <w:pStyle w:val="ab"/>
              <w:ind w:firstLine="709"/>
              <w:jc w:val="both"/>
              <w:outlineLvl w:val="0"/>
              <w:rPr>
                <w:rFonts w:ascii="Times New Roman" w:hAnsi="Times New Roman" w:cs="Times New Roman"/>
                <w:sz w:val="28"/>
                <w:szCs w:val="28"/>
              </w:rPr>
            </w:pPr>
            <w:r w:rsidRPr="00B30124">
              <w:rPr>
                <w:rFonts w:ascii="Times New Roman" w:hAnsi="Times New Roman" w:cs="Times New Roman"/>
                <w:b/>
                <w:sz w:val="28"/>
                <w:szCs w:val="28"/>
              </w:rPr>
              <w:t>Статья 12.</w:t>
            </w:r>
            <w:r w:rsidRPr="00B30124">
              <w:rPr>
                <w:rFonts w:ascii="Times New Roman" w:hAnsi="Times New Roman" w:cs="Times New Roman"/>
                <w:sz w:val="28"/>
                <w:szCs w:val="28"/>
              </w:rPr>
              <w:t xml:space="preserve"> Порядок рассекречивания сведений</w:t>
            </w:r>
          </w:p>
          <w:p w:rsidR="00E31DA0" w:rsidRDefault="00E31DA0" w:rsidP="00B93C04">
            <w:pPr>
              <w:pStyle w:val="ab"/>
              <w:ind w:firstLine="720"/>
              <w:jc w:val="both"/>
              <w:outlineLvl w:val="0"/>
              <w:rPr>
                <w:rFonts w:ascii="Times New Roman" w:hAnsi="Times New Roman" w:cs="Times New Roman"/>
                <w:sz w:val="28"/>
                <w:szCs w:val="28"/>
              </w:rPr>
            </w:pPr>
          </w:p>
          <w:p w:rsidR="00E31DA0" w:rsidRPr="00B30124" w:rsidRDefault="00E31DA0" w:rsidP="00B93C04">
            <w:pPr>
              <w:pStyle w:val="ab"/>
              <w:ind w:firstLine="720"/>
              <w:jc w:val="both"/>
              <w:outlineLvl w:val="0"/>
              <w:rPr>
                <w:rFonts w:ascii="Times New Roman" w:hAnsi="Times New Roman" w:cs="Times New Roman"/>
                <w:sz w:val="28"/>
                <w:szCs w:val="28"/>
              </w:rPr>
            </w:pPr>
            <w:r>
              <w:rPr>
                <w:rFonts w:ascii="Times New Roman" w:hAnsi="Times New Roman" w:cs="Times New Roman"/>
                <w:sz w:val="28"/>
                <w:szCs w:val="28"/>
              </w:rPr>
              <w:t>...</w:t>
            </w:r>
          </w:p>
          <w:p w:rsidR="00E31DA0" w:rsidRPr="00B30124" w:rsidRDefault="00E31DA0" w:rsidP="00B93C04">
            <w:pPr>
              <w:pStyle w:val="ab"/>
              <w:ind w:firstLine="720"/>
              <w:jc w:val="both"/>
              <w:rPr>
                <w:rFonts w:ascii="Times New Roman" w:hAnsi="Times New Roman" w:cs="Times New Roman"/>
                <w:sz w:val="28"/>
                <w:szCs w:val="28"/>
              </w:rPr>
            </w:pPr>
            <w:r w:rsidRPr="00B30124">
              <w:rPr>
                <w:rFonts w:ascii="Times New Roman" w:hAnsi="Times New Roman" w:cs="Times New Roman"/>
                <w:sz w:val="28"/>
                <w:szCs w:val="28"/>
              </w:rPr>
              <w:t xml:space="preserve">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Инспекции по защите государственной тайны при Президенте Приднестровской Молдавской Республики, </w:t>
            </w:r>
            <w:r w:rsidRPr="00155C33">
              <w:rPr>
                <w:rFonts w:ascii="Times New Roman" w:hAnsi="Times New Roman" w:cs="Times New Roman"/>
                <w:b/>
                <w:sz w:val="28"/>
                <w:szCs w:val="28"/>
              </w:rPr>
              <w:t>но не более чем на 50 лет.</w:t>
            </w:r>
            <w:r w:rsidRPr="00B30124">
              <w:rPr>
                <w:rFonts w:ascii="Times New Roman" w:hAnsi="Times New Roman" w:cs="Times New Roman"/>
                <w:sz w:val="28"/>
                <w:szCs w:val="28"/>
              </w:rPr>
              <w:t xml:space="preserve"> Правом изменения действующих в органах государственной власти, на предприятиях, в учреждениях и организациях перечней сведений, подлежащих засекречиванию, наделяются утвердившие их </w:t>
            </w:r>
            <w:r w:rsidRPr="00E73E08">
              <w:rPr>
                <w:rFonts w:ascii="Times New Roman" w:hAnsi="Times New Roman" w:cs="Times New Roman"/>
                <w:sz w:val="28"/>
                <w:szCs w:val="28"/>
              </w:rPr>
              <w:t>руководители органов государственной власти и организаций,</w:t>
            </w:r>
            <w:r w:rsidRPr="00B30124">
              <w:rPr>
                <w:rFonts w:ascii="Times New Roman" w:hAnsi="Times New Roman" w:cs="Times New Roman"/>
                <w:sz w:val="28"/>
                <w:szCs w:val="28"/>
              </w:rPr>
              <w:t xml:space="preserve"> которые несут персональную ответственность за обоснованность принятых ими решений по рассекречиванию сведений. Решения указанных руководителей, связанные с изменениями </w:t>
            </w:r>
            <w:r w:rsidRPr="00B30124">
              <w:rPr>
                <w:rFonts w:ascii="Times New Roman" w:hAnsi="Times New Roman"/>
                <w:sz w:val="28"/>
                <w:szCs w:val="28"/>
              </w:rPr>
              <w:t>Перечня</w:t>
            </w:r>
            <w:r w:rsidRPr="00B30124">
              <w:rPr>
                <w:rFonts w:ascii="Times New Roman" w:hAnsi="Times New Roman" w:cs="Times New Roman"/>
                <w:sz w:val="28"/>
                <w:szCs w:val="28"/>
              </w:rPr>
              <w:t xml:space="preserve"> сведений, отнесенных к государственной тайне, подлежат согласованию с Инспекцией по защите государственной тайны при Президенте Приднестровской Молдавской Республики, которая вправе приостанавливать и опротестовывать эти решения.</w:t>
            </w:r>
          </w:p>
          <w:p w:rsidR="00E31DA0" w:rsidRPr="00CD4DDB" w:rsidRDefault="00E31DA0" w:rsidP="00B93C04">
            <w:pPr>
              <w:tabs>
                <w:tab w:val="left" w:pos="3933"/>
              </w:tabs>
              <w:ind w:firstLine="709"/>
              <w:jc w:val="both"/>
              <w:outlineLvl w:val="0"/>
              <w:rPr>
                <w:sz w:val="28"/>
                <w:szCs w:val="28"/>
              </w:rPr>
            </w:pPr>
          </w:p>
          <w:p w:rsidR="00E31DA0" w:rsidRPr="000D2CF7" w:rsidRDefault="00E31DA0" w:rsidP="00B93C04">
            <w:pPr>
              <w:jc w:val="both"/>
              <w:outlineLvl w:val="2"/>
              <w:rPr>
                <w:sz w:val="28"/>
                <w:szCs w:val="28"/>
              </w:rPr>
            </w:pPr>
          </w:p>
        </w:tc>
        <w:tc>
          <w:tcPr>
            <w:tcW w:w="4961" w:type="dxa"/>
          </w:tcPr>
          <w:p w:rsidR="00E31DA0" w:rsidRPr="00B30124" w:rsidRDefault="00E31DA0" w:rsidP="00B93C04">
            <w:pPr>
              <w:pStyle w:val="ab"/>
              <w:ind w:firstLine="709"/>
              <w:jc w:val="both"/>
              <w:outlineLvl w:val="0"/>
              <w:rPr>
                <w:rFonts w:ascii="Times New Roman" w:hAnsi="Times New Roman" w:cs="Times New Roman"/>
                <w:sz w:val="28"/>
                <w:szCs w:val="28"/>
              </w:rPr>
            </w:pPr>
            <w:r w:rsidRPr="00B30124">
              <w:rPr>
                <w:rFonts w:ascii="Times New Roman" w:hAnsi="Times New Roman" w:cs="Times New Roman"/>
                <w:b/>
                <w:sz w:val="28"/>
                <w:szCs w:val="28"/>
              </w:rPr>
              <w:t>Статья 12.</w:t>
            </w:r>
            <w:r w:rsidRPr="00B30124">
              <w:rPr>
                <w:rFonts w:ascii="Times New Roman" w:hAnsi="Times New Roman" w:cs="Times New Roman"/>
                <w:sz w:val="28"/>
                <w:szCs w:val="28"/>
              </w:rPr>
              <w:t xml:space="preserve"> Порядок рассекречивания сведений</w:t>
            </w:r>
          </w:p>
          <w:p w:rsidR="00E31DA0" w:rsidRDefault="00E31DA0" w:rsidP="00B93C04">
            <w:pPr>
              <w:pStyle w:val="ab"/>
              <w:ind w:firstLine="720"/>
              <w:jc w:val="both"/>
              <w:outlineLvl w:val="0"/>
              <w:rPr>
                <w:rFonts w:ascii="Times New Roman" w:hAnsi="Times New Roman" w:cs="Times New Roman"/>
                <w:sz w:val="28"/>
                <w:szCs w:val="28"/>
              </w:rPr>
            </w:pPr>
          </w:p>
          <w:p w:rsidR="00E31DA0" w:rsidRPr="00B30124" w:rsidRDefault="00E31DA0" w:rsidP="00B93C04">
            <w:pPr>
              <w:pStyle w:val="ab"/>
              <w:ind w:firstLine="720"/>
              <w:jc w:val="both"/>
              <w:outlineLvl w:val="0"/>
              <w:rPr>
                <w:rFonts w:ascii="Times New Roman" w:hAnsi="Times New Roman" w:cs="Times New Roman"/>
                <w:sz w:val="28"/>
                <w:szCs w:val="28"/>
              </w:rPr>
            </w:pPr>
            <w:r>
              <w:rPr>
                <w:rFonts w:ascii="Times New Roman" w:hAnsi="Times New Roman" w:cs="Times New Roman"/>
                <w:sz w:val="28"/>
                <w:szCs w:val="28"/>
              </w:rPr>
              <w:t>...</w:t>
            </w:r>
          </w:p>
          <w:p w:rsidR="00E31DA0" w:rsidRPr="00B30124" w:rsidRDefault="00E31DA0" w:rsidP="00B93C04">
            <w:pPr>
              <w:pStyle w:val="ab"/>
              <w:ind w:firstLine="720"/>
              <w:jc w:val="both"/>
              <w:rPr>
                <w:rFonts w:ascii="Times New Roman" w:hAnsi="Times New Roman" w:cs="Times New Roman"/>
                <w:sz w:val="28"/>
                <w:szCs w:val="28"/>
              </w:rPr>
            </w:pPr>
            <w:r w:rsidRPr="00B30124">
              <w:rPr>
                <w:rFonts w:ascii="Times New Roman" w:hAnsi="Times New Roman" w:cs="Times New Roman"/>
                <w:sz w:val="28"/>
                <w:szCs w:val="28"/>
              </w:rPr>
              <w:t>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Инспекции по защите государственной тайны при Президенте Приднестровской Молд</w:t>
            </w:r>
            <w:r>
              <w:rPr>
                <w:rFonts w:ascii="Times New Roman" w:hAnsi="Times New Roman" w:cs="Times New Roman"/>
                <w:sz w:val="28"/>
                <w:szCs w:val="28"/>
              </w:rPr>
              <w:t xml:space="preserve">авской Республики. </w:t>
            </w:r>
            <w:r w:rsidRPr="00B30124">
              <w:rPr>
                <w:rFonts w:ascii="Times New Roman" w:hAnsi="Times New Roman" w:cs="Times New Roman"/>
                <w:sz w:val="28"/>
                <w:szCs w:val="28"/>
              </w:rPr>
              <w:t xml:space="preserve">Правом изменения действующих в органах государственной власти, на предприятиях, в учреждениях и организациях перечней сведений, подлежащих засекречиванию, наделяются утвердившие их </w:t>
            </w:r>
            <w:r w:rsidRPr="00E73E08">
              <w:rPr>
                <w:rFonts w:ascii="Times New Roman" w:hAnsi="Times New Roman" w:cs="Times New Roman"/>
                <w:sz w:val="28"/>
                <w:szCs w:val="28"/>
              </w:rPr>
              <w:t>руководители органов государственной власти и организаций,</w:t>
            </w:r>
            <w:r w:rsidRPr="00B30124">
              <w:rPr>
                <w:rFonts w:ascii="Times New Roman" w:hAnsi="Times New Roman" w:cs="Times New Roman"/>
                <w:sz w:val="28"/>
                <w:szCs w:val="28"/>
              </w:rPr>
              <w:t xml:space="preserve"> которые несут персональную ответственность за обоснованность принятых ими решений по рассекречиванию сведений. Решения указанных руководителей, связанные с изменениями </w:t>
            </w:r>
            <w:r w:rsidRPr="00B30124">
              <w:rPr>
                <w:rFonts w:ascii="Times New Roman" w:hAnsi="Times New Roman"/>
                <w:sz w:val="28"/>
                <w:szCs w:val="28"/>
              </w:rPr>
              <w:t>Перечня</w:t>
            </w:r>
            <w:r w:rsidRPr="00B30124">
              <w:rPr>
                <w:rFonts w:ascii="Times New Roman" w:hAnsi="Times New Roman" w:cs="Times New Roman"/>
                <w:sz w:val="28"/>
                <w:szCs w:val="28"/>
              </w:rPr>
              <w:t xml:space="preserve"> сведений, отнесенных к государственной тайне, подлежат согласованию с Инспекцией по защите государственной тайны при Президенте Приднестровской Молдавской Республики, которая вправе приостанавливать и опротестовывать эти решения.</w:t>
            </w:r>
          </w:p>
          <w:p w:rsidR="00E31DA0" w:rsidRPr="00CD4DDB" w:rsidRDefault="00E31DA0" w:rsidP="00B93C04">
            <w:pPr>
              <w:tabs>
                <w:tab w:val="left" w:pos="3933"/>
              </w:tabs>
              <w:jc w:val="both"/>
              <w:rPr>
                <w:sz w:val="28"/>
                <w:szCs w:val="28"/>
              </w:rPr>
            </w:pPr>
          </w:p>
        </w:tc>
      </w:tr>
    </w:tbl>
    <w:p w:rsidR="00805BF6" w:rsidRPr="005D16B8" w:rsidRDefault="00805BF6" w:rsidP="005D16B8">
      <w:bookmarkStart w:id="0" w:name="_GoBack"/>
      <w:bookmarkEnd w:id="0"/>
    </w:p>
    <w:sectPr w:rsidR="00805BF6" w:rsidRPr="005D1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0415"/>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6D2B-10D0-47FE-B904-2120B5C8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15</cp:revision>
  <cp:lastPrinted>2026-01-30T06:58:00Z</cp:lastPrinted>
  <dcterms:created xsi:type="dcterms:W3CDTF">2026-02-09T12:39:00Z</dcterms:created>
  <dcterms:modified xsi:type="dcterms:W3CDTF">2026-02-10T15:14:00Z</dcterms:modified>
</cp:coreProperties>
</file>