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73E" w:rsidRPr="00FE073E" w:rsidRDefault="00FE073E" w:rsidP="00FE073E">
      <w:pPr>
        <w:jc w:val="center"/>
        <w:rPr>
          <w:rFonts w:eastAsia="Calibri"/>
          <w:b/>
          <w:sz w:val="28"/>
          <w:szCs w:val="28"/>
          <w:lang w:eastAsia="en-US"/>
        </w:rPr>
      </w:pPr>
      <w:r w:rsidRPr="00FE073E">
        <w:rPr>
          <w:rFonts w:eastAsia="Calibri"/>
          <w:b/>
          <w:sz w:val="28"/>
          <w:szCs w:val="28"/>
          <w:lang w:eastAsia="en-US"/>
        </w:rPr>
        <w:t>Сравнительная таблица</w:t>
      </w:r>
    </w:p>
    <w:p w:rsidR="00FE073E" w:rsidRPr="00FE073E" w:rsidRDefault="00FE073E" w:rsidP="00FE073E">
      <w:pPr>
        <w:ind w:firstLine="709"/>
        <w:jc w:val="center"/>
        <w:rPr>
          <w:rFonts w:eastAsia="Calibri"/>
          <w:b/>
          <w:sz w:val="28"/>
          <w:szCs w:val="28"/>
          <w:lang w:eastAsia="en-US"/>
        </w:rPr>
      </w:pPr>
      <w:r w:rsidRPr="00FE073E">
        <w:rPr>
          <w:rFonts w:eastAsia="Calibri"/>
          <w:b/>
          <w:sz w:val="28"/>
          <w:szCs w:val="28"/>
          <w:lang w:eastAsia="en-US"/>
        </w:rPr>
        <w:t>к проекту закона Приднестровской Молдавской Республики</w:t>
      </w:r>
    </w:p>
    <w:p w:rsidR="00FE073E" w:rsidRPr="00FE073E" w:rsidRDefault="00FE073E" w:rsidP="00FE073E">
      <w:pPr>
        <w:shd w:val="clear" w:color="auto" w:fill="FFFFFF"/>
        <w:jc w:val="center"/>
        <w:rPr>
          <w:b/>
          <w:sz w:val="28"/>
          <w:szCs w:val="28"/>
        </w:rPr>
      </w:pPr>
      <w:r w:rsidRPr="00FE073E">
        <w:rPr>
          <w:b/>
          <w:sz w:val="28"/>
          <w:szCs w:val="28"/>
        </w:rPr>
        <w:t xml:space="preserve">«О внесении изменений в Гражданский процессуальный кодекс </w:t>
      </w:r>
    </w:p>
    <w:p w:rsidR="00FE073E" w:rsidRPr="00FE073E" w:rsidRDefault="00FE073E" w:rsidP="00FE073E">
      <w:pPr>
        <w:shd w:val="clear" w:color="auto" w:fill="FFFFFF"/>
        <w:jc w:val="center"/>
        <w:rPr>
          <w:b/>
          <w:sz w:val="28"/>
          <w:szCs w:val="28"/>
        </w:rPr>
      </w:pPr>
      <w:r w:rsidRPr="00FE073E">
        <w:rPr>
          <w:b/>
          <w:sz w:val="28"/>
          <w:szCs w:val="28"/>
        </w:rPr>
        <w:t>Приднестровской Молдавской Республики»</w:t>
      </w:r>
    </w:p>
    <w:p w:rsidR="00FE073E" w:rsidRPr="00FE073E" w:rsidRDefault="00FE073E" w:rsidP="00FE073E">
      <w:pPr>
        <w:spacing w:after="160" w:line="259" w:lineRule="auto"/>
        <w:rPr>
          <w:rFonts w:asciiTheme="minorHAnsi" w:eastAsiaTheme="minorHAnsi" w:hAnsiTheme="minorHAnsi" w:cstheme="minorBidi"/>
          <w:sz w:val="22"/>
          <w:szCs w:val="22"/>
          <w:lang w:eastAsia="en-US"/>
        </w:rPr>
      </w:pPr>
    </w:p>
    <w:tbl>
      <w:tblPr>
        <w:tblStyle w:val="ad"/>
        <w:tblW w:w="10064" w:type="dxa"/>
        <w:tblInd w:w="-572" w:type="dxa"/>
        <w:tblLook w:val="04A0" w:firstRow="1" w:lastRow="0" w:firstColumn="1" w:lastColumn="0" w:noHBand="0" w:noVBand="1"/>
      </w:tblPr>
      <w:tblGrid>
        <w:gridCol w:w="5103"/>
        <w:gridCol w:w="4961"/>
      </w:tblGrid>
      <w:tr w:rsidR="00FE073E" w:rsidRPr="00FE073E" w:rsidTr="00F8063B">
        <w:tc>
          <w:tcPr>
            <w:tcW w:w="5103" w:type="dxa"/>
          </w:tcPr>
          <w:p w:rsidR="00FE073E" w:rsidRPr="00FE073E" w:rsidRDefault="00FE073E" w:rsidP="00FE073E">
            <w:pPr>
              <w:jc w:val="center"/>
              <w:rPr>
                <w:b/>
                <w:sz w:val="28"/>
                <w:szCs w:val="28"/>
              </w:rPr>
            </w:pPr>
            <w:r w:rsidRPr="00FE073E">
              <w:rPr>
                <w:b/>
                <w:sz w:val="28"/>
                <w:szCs w:val="28"/>
              </w:rPr>
              <w:t>Действующая редакция</w:t>
            </w:r>
          </w:p>
          <w:p w:rsidR="00FE073E" w:rsidRPr="00FE073E" w:rsidRDefault="00FE073E" w:rsidP="00FE073E">
            <w:pPr>
              <w:jc w:val="center"/>
              <w:rPr>
                <w:b/>
                <w:sz w:val="28"/>
                <w:szCs w:val="28"/>
              </w:rPr>
            </w:pPr>
          </w:p>
        </w:tc>
        <w:tc>
          <w:tcPr>
            <w:tcW w:w="4961" w:type="dxa"/>
          </w:tcPr>
          <w:p w:rsidR="00FE073E" w:rsidRPr="00FE073E" w:rsidRDefault="00FE073E" w:rsidP="00FE073E">
            <w:pPr>
              <w:jc w:val="center"/>
              <w:rPr>
                <w:b/>
                <w:sz w:val="28"/>
                <w:szCs w:val="28"/>
              </w:rPr>
            </w:pPr>
            <w:r w:rsidRPr="00FE073E">
              <w:rPr>
                <w:b/>
                <w:sz w:val="28"/>
                <w:szCs w:val="28"/>
              </w:rPr>
              <w:t>Предлагаемая редакция</w:t>
            </w:r>
          </w:p>
        </w:tc>
      </w:tr>
      <w:tr w:rsidR="00FE073E" w:rsidRPr="00FE073E" w:rsidTr="00F8063B">
        <w:tc>
          <w:tcPr>
            <w:tcW w:w="5103" w:type="dxa"/>
          </w:tcPr>
          <w:p w:rsidR="00FE073E" w:rsidRPr="00FE073E" w:rsidRDefault="00FE073E" w:rsidP="00FE073E">
            <w:pPr>
              <w:jc w:val="both"/>
              <w:rPr>
                <w:rFonts w:eastAsia="Calibri"/>
                <w:sz w:val="28"/>
                <w:szCs w:val="28"/>
                <w:lang w:eastAsia="en-US"/>
              </w:rPr>
            </w:pPr>
            <w:r w:rsidRPr="00FE073E">
              <w:rPr>
                <w:rFonts w:eastAsia="Calibri"/>
                <w:b/>
                <w:sz w:val="28"/>
                <w:szCs w:val="28"/>
                <w:lang w:eastAsia="en-US"/>
              </w:rPr>
              <w:t>Статья 402.</w:t>
            </w:r>
            <w:r w:rsidRPr="00FE073E">
              <w:rPr>
                <w:rFonts w:eastAsia="Calibri"/>
                <w:sz w:val="28"/>
                <w:szCs w:val="28"/>
                <w:lang w:eastAsia="en-US"/>
              </w:rPr>
              <w:t xml:space="preserve"> Основания для пересмотра судебных постановлений, вступивших в законную силу, по вновь открывшимся или новым обстоятельствам</w:t>
            </w: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w:t>
            </w:r>
          </w:p>
          <w:p w:rsidR="00FE073E" w:rsidRPr="00FE073E" w:rsidRDefault="00FE073E" w:rsidP="00FE073E">
            <w:pPr>
              <w:ind w:firstLine="709"/>
              <w:jc w:val="both"/>
              <w:rPr>
                <w:rFonts w:eastAsia="Calibri"/>
                <w:sz w:val="28"/>
                <w:szCs w:val="28"/>
                <w:lang w:eastAsia="en-US"/>
              </w:rPr>
            </w:pPr>
            <w:r w:rsidRPr="00FE073E">
              <w:rPr>
                <w:rFonts w:eastAsia="Calibri"/>
                <w:sz w:val="28"/>
                <w:szCs w:val="28"/>
                <w:lang w:eastAsia="en-US"/>
              </w:rPr>
              <w:t>4. К вновь открывшимся обстоятельствам относятся:</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а) существенные для дела обстоятельства, которые не были и не могли быть известны заявителю;</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б) заведомо ложные показания свидетеля, заведомо ложное заключение судебного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в)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FE073E" w:rsidRPr="00FE073E" w:rsidRDefault="00FE073E" w:rsidP="00FE073E">
            <w:pPr>
              <w:jc w:val="both"/>
              <w:rPr>
                <w:rFonts w:eastAsia="Calibri"/>
                <w:sz w:val="28"/>
                <w:szCs w:val="28"/>
                <w:lang w:eastAsia="en-US"/>
              </w:rPr>
            </w:pPr>
            <w:r w:rsidRPr="00FE073E">
              <w:rPr>
                <w:rFonts w:eastAsia="Calibri"/>
                <w:b/>
                <w:sz w:val="28"/>
                <w:szCs w:val="28"/>
                <w:lang w:eastAsia="en-US"/>
              </w:rPr>
              <w:tab/>
            </w:r>
            <w:r w:rsidRPr="00FE073E">
              <w:rPr>
                <w:rFonts w:eastAsia="Calibri"/>
                <w:sz w:val="28"/>
                <w:szCs w:val="28"/>
                <w:lang w:eastAsia="en-US"/>
              </w:rPr>
              <w:t xml:space="preserve">5. </w:t>
            </w:r>
            <w:r w:rsidRPr="00FE073E">
              <w:rPr>
                <w:rFonts w:eastAsia="Calibri"/>
                <w:b/>
                <w:sz w:val="28"/>
                <w:szCs w:val="28"/>
                <w:lang w:eastAsia="en-US"/>
              </w:rPr>
              <w:t>В случае, если предусмотренные</w:t>
            </w:r>
            <w:r w:rsidRPr="00FE073E">
              <w:rPr>
                <w:rFonts w:eastAsia="Calibri"/>
                <w:sz w:val="28"/>
                <w:szCs w:val="28"/>
                <w:lang w:eastAsia="en-US"/>
              </w:rPr>
              <w:t xml:space="preserve"> подпунктами б) и в) пункта 4 настоящей статьи обстоятельства установлены определением или постановлением суда, постановлением иного органа или должностного лица о прекращении уголовного дела за истечением срока давности, вследствие акта об амнистии или акта о помиловании, по причине смерти обвиняемого, </w:t>
            </w:r>
            <w:r w:rsidRPr="00FE073E">
              <w:rPr>
                <w:rFonts w:eastAsia="Calibri"/>
                <w:b/>
                <w:sz w:val="28"/>
                <w:szCs w:val="28"/>
                <w:lang w:eastAsia="en-US"/>
              </w:rPr>
              <w:t xml:space="preserve">они могут быть основанием для пересмотра судебного постановления по вновь </w:t>
            </w:r>
            <w:r w:rsidRPr="00FE073E">
              <w:rPr>
                <w:rFonts w:eastAsia="Calibri"/>
                <w:b/>
                <w:sz w:val="28"/>
                <w:szCs w:val="28"/>
                <w:lang w:eastAsia="en-US"/>
              </w:rPr>
              <w:lastRenderedPageBreak/>
              <w:t>открывшимся обстоятельствам при условии признания их судом обстоятельствами, существенными для дела согласно подпункту а) пункта 4 настоящей статьи.</w:t>
            </w:r>
            <w:r w:rsidRPr="00FE073E">
              <w:rPr>
                <w:rFonts w:eastAsia="Calibri"/>
                <w:sz w:val="28"/>
                <w:szCs w:val="28"/>
                <w:lang w:eastAsia="en-US"/>
              </w:rPr>
              <w:t xml:space="preserve"> </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asciiTheme="minorHAnsi" w:eastAsiaTheme="minorHAnsi" w:hAnsiTheme="minorHAnsi" w:cstheme="minorBidi"/>
                <w:sz w:val="22"/>
                <w:szCs w:val="22"/>
                <w:lang w:eastAsia="en-US"/>
              </w:rPr>
            </w:pPr>
          </w:p>
        </w:tc>
        <w:tc>
          <w:tcPr>
            <w:tcW w:w="4961" w:type="dxa"/>
          </w:tcPr>
          <w:p w:rsidR="00FE073E" w:rsidRPr="00FE073E" w:rsidRDefault="00FE073E" w:rsidP="00FE073E">
            <w:pPr>
              <w:jc w:val="both"/>
              <w:rPr>
                <w:rFonts w:eastAsia="Calibri"/>
                <w:sz w:val="28"/>
                <w:szCs w:val="28"/>
                <w:lang w:eastAsia="en-US"/>
              </w:rPr>
            </w:pPr>
            <w:r w:rsidRPr="00FE073E">
              <w:rPr>
                <w:rFonts w:eastAsia="Calibri"/>
                <w:b/>
                <w:sz w:val="28"/>
                <w:szCs w:val="28"/>
                <w:lang w:eastAsia="en-US"/>
              </w:rPr>
              <w:lastRenderedPageBreak/>
              <w:t>Статья 402.</w:t>
            </w:r>
            <w:r w:rsidRPr="00FE073E">
              <w:rPr>
                <w:rFonts w:eastAsia="Calibri"/>
                <w:sz w:val="28"/>
                <w:szCs w:val="28"/>
                <w:lang w:eastAsia="en-US"/>
              </w:rPr>
              <w:t xml:space="preserve"> Основания для пересмотра судебных постановлений, вступивших в законную силу, по вновь открывшимся или новым обстоятельствам</w:t>
            </w:r>
          </w:p>
          <w:p w:rsidR="00FE073E" w:rsidRPr="00FE073E" w:rsidRDefault="00FE073E" w:rsidP="00FE073E">
            <w:pPr>
              <w:rPr>
                <w:rFonts w:asciiTheme="minorHAnsi" w:eastAsiaTheme="minorHAnsi" w:hAnsiTheme="minorHAnsi" w:cstheme="minorBidi"/>
                <w:sz w:val="22"/>
                <w:szCs w:val="22"/>
                <w:lang w:eastAsia="en-US"/>
              </w:rPr>
            </w:pP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w:t>
            </w:r>
          </w:p>
          <w:p w:rsidR="00FE073E" w:rsidRPr="00FE073E" w:rsidRDefault="00FE073E" w:rsidP="00FE073E">
            <w:pPr>
              <w:ind w:firstLine="709"/>
              <w:jc w:val="both"/>
              <w:rPr>
                <w:rFonts w:eastAsia="Calibri"/>
                <w:sz w:val="28"/>
                <w:szCs w:val="28"/>
                <w:lang w:eastAsia="en-US"/>
              </w:rPr>
            </w:pPr>
            <w:r w:rsidRPr="00FE073E">
              <w:rPr>
                <w:rFonts w:eastAsia="Calibri"/>
                <w:sz w:val="28"/>
                <w:szCs w:val="28"/>
                <w:lang w:eastAsia="en-US"/>
              </w:rPr>
              <w:t>4. К вновь открывшимся обстоятельствам относятся:</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а) существенные для дела обстоятельства, которые не были и не могли быть известны заявителю;</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б) заведомо ложные показания свидетеля, заведомо ложное заключение судебного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в)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FE073E" w:rsidRPr="00FE073E" w:rsidRDefault="00FE073E" w:rsidP="00FE073E">
            <w:pPr>
              <w:jc w:val="both"/>
              <w:rPr>
                <w:rFonts w:eastAsia="Calibri"/>
                <w:sz w:val="28"/>
                <w:szCs w:val="28"/>
                <w:lang w:eastAsia="en-US"/>
              </w:rPr>
            </w:pPr>
            <w:r w:rsidRPr="00FE073E">
              <w:rPr>
                <w:rFonts w:eastAsia="Calibri"/>
                <w:b/>
                <w:sz w:val="28"/>
                <w:szCs w:val="28"/>
                <w:lang w:eastAsia="en-US"/>
              </w:rPr>
              <w:tab/>
              <w:t xml:space="preserve">5. Обстоятельства, указанные в </w:t>
            </w:r>
            <w:r w:rsidRPr="00FE073E">
              <w:rPr>
                <w:rFonts w:eastAsia="Calibri"/>
                <w:sz w:val="28"/>
                <w:szCs w:val="28"/>
                <w:lang w:eastAsia="en-US"/>
              </w:rPr>
              <w:t>подпунктах б) и в) пункта 4 настоящей статьи</w:t>
            </w:r>
            <w:r w:rsidRPr="00FE073E">
              <w:rPr>
                <w:rFonts w:eastAsia="Calibri"/>
                <w:b/>
                <w:sz w:val="28"/>
                <w:szCs w:val="28"/>
                <w:lang w:eastAsia="en-US"/>
              </w:rPr>
              <w:t xml:space="preserve"> могут быть </w:t>
            </w:r>
            <w:r w:rsidRPr="00FE073E">
              <w:rPr>
                <w:rFonts w:eastAsia="Calibri"/>
                <w:sz w:val="28"/>
                <w:szCs w:val="28"/>
                <w:lang w:eastAsia="en-US"/>
              </w:rPr>
              <w:t>установлены</w:t>
            </w:r>
            <w:r w:rsidRPr="00FE073E">
              <w:rPr>
                <w:rFonts w:eastAsia="Calibri"/>
                <w:b/>
                <w:sz w:val="28"/>
                <w:szCs w:val="28"/>
                <w:lang w:eastAsia="en-US"/>
              </w:rPr>
              <w:t xml:space="preserve"> помимо приговора </w:t>
            </w:r>
            <w:r w:rsidRPr="00FE073E">
              <w:rPr>
                <w:rFonts w:eastAsia="Calibri"/>
                <w:sz w:val="28"/>
                <w:szCs w:val="28"/>
                <w:lang w:eastAsia="en-US"/>
              </w:rPr>
              <w:t>определением или постановлением суда, постановлением иного органа или должностного лица о прекращении уголовного дела:</w:t>
            </w:r>
          </w:p>
          <w:p w:rsidR="00FE073E" w:rsidRPr="00FE073E" w:rsidRDefault="00FE073E" w:rsidP="00FE073E">
            <w:pPr>
              <w:ind w:firstLine="814"/>
              <w:jc w:val="both"/>
              <w:rPr>
                <w:rFonts w:eastAsia="Calibri"/>
                <w:sz w:val="28"/>
                <w:szCs w:val="28"/>
                <w:lang w:eastAsia="en-US"/>
              </w:rPr>
            </w:pPr>
            <w:r w:rsidRPr="00FE073E">
              <w:rPr>
                <w:rFonts w:eastAsia="Calibri"/>
                <w:sz w:val="28"/>
                <w:szCs w:val="28"/>
                <w:lang w:eastAsia="en-US"/>
              </w:rPr>
              <w:t>а) за истечением срока давности;</w:t>
            </w:r>
          </w:p>
          <w:p w:rsidR="00FE073E" w:rsidRPr="00FE073E" w:rsidRDefault="00FE073E" w:rsidP="00FE073E">
            <w:pPr>
              <w:ind w:firstLine="814"/>
              <w:jc w:val="both"/>
              <w:rPr>
                <w:rFonts w:eastAsia="Calibri"/>
                <w:sz w:val="28"/>
                <w:szCs w:val="28"/>
                <w:lang w:eastAsia="en-US"/>
              </w:rPr>
            </w:pPr>
            <w:r w:rsidRPr="00FE073E">
              <w:rPr>
                <w:rFonts w:eastAsia="Calibri"/>
                <w:sz w:val="28"/>
                <w:szCs w:val="28"/>
                <w:lang w:eastAsia="en-US"/>
              </w:rPr>
              <w:t>б) вследствие акта об амнистии или акта о помиловании;</w:t>
            </w:r>
          </w:p>
          <w:p w:rsidR="00FE073E" w:rsidRPr="00FE073E" w:rsidRDefault="00FE073E" w:rsidP="00FE073E">
            <w:pPr>
              <w:ind w:firstLine="814"/>
              <w:jc w:val="both"/>
              <w:rPr>
                <w:rFonts w:eastAsia="Calibri"/>
                <w:sz w:val="28"/>
                <w:szCs w:val="28"/>
                <w:lang w:eastAsia="en-US"/>
              </w:rPr>
            </w:pPr>
            <w:r w:rsidRPr="00FE073E">
              <w:rPr>
                <w:rFonts w:eastAsia="Calibri"/>
                <w:sz w:val="28"/>
                <w:szCs w:val="28"/>
                <w:lang w:eastAsia="en-US"/>
              </w:rPr>
              <w:t>в) по причине смерти обвиняемого;</w:t>
            </w:r>
          </w:p>
          <w:p w:rsidR="00FE073E" w:rsidRPr="00FE073E" w:rsidRDefault="00FE073E" w:rsidP="00FE073E">
            <w:pPr>
              <w:ind w:firstLine="814"/>
              <w:jc w:val="both"/>
              <w:rPr>
                <w:rFonts w:eastAsia="Calibri"/>
                <w:b/>
                <w:sz w:val="28"/>
                <w:szCs w:val="28"/>
                <w:lang w:eastAsia="en-US"/>
              </w:rPr>
            </w:pPr>
            <w:r w:rsidRPr="00FE073E">
              <w:rPr>
                <w:rFonts w:eastAsia="Calibri"/>
                <w:b/>
                <w:sz w:val="28"/>
                <w:szCs w:val="28"/>
                <w:lang w:eastAsia="en-US"/>
              </w:rPr>
              <w:lastRenderedPageBreak/>
              <w:t>г) в связи с устранением преступности и наказуемости деяния новым уголовным законом;</w:t>
            </w:r>
          </w:p>
          <w:p w:rsidR="00FE073E" w:rsidRPr="00FE073E" w:rsidRDefault="00FE073E" w:rsidP="00FE073E">
            <w:pPr>
              <w:ind w:firstLine="814"/>
              <w:jc w:val="both"/>
              <w:rPr>
                <w:rFonts w:eastAsia="Calibri"/>
                <w:b/>
                <w:sz w:val="28"/>
                <w:szCs w:val="28"/>
                <w:lang w:eastAsia="en-US"/>
              </w:rPr>
            </w:pPr>
            <w:r w:rsidRPr="00FE073E">
              <w:rPr>
                <w:rFonts w:eastAsia="Calibri"/>
                <w:b/>
                <w:sz w:val="28"/>
                <w:szCs w:val="28"/>
                <w:lang w:eastAsia="en-US"/>
              </w:rPr>
              <w:t>д) в связи с возмещением ущерба;</w:t>
            </w:r>
          </w:p>
          <w:p w:rsidR="00FE073E" w:rsidRPr="00FE073E" w:rsidRDefault="00FE073E" w:rsidP="00FE073E">
            <w:pPr>
              <w:ind w:firstLine="814"/>
              <w:jc w:val="both"/>
              <w:rPr>
                <w:rFonts w:eastAsia="Calibri"/>
                <w:b/>
                <w:sz w:val="28"/>
                <w:szCs w:val="28"/>
                <w:lang w:eastAsia="en-US"/>
              </w:rPr>
            </w:pPr>
            <w:r w:rsidRPr="00FE073E">
              <w:rPr>
                <w:rFonts w:eastAsia="Calibri"/>
                <w:b/>
                <w:sz w:val="28"/>
                <w:szCs w:val="28"/>
                <w:lang w:eastAsia="en-US"/>
              </w:rPr>
              <w:t>е) в связи с применением принудительных мер воспитательного воздействия;</w:t>
            </w:r>
          </w:p>
          <w:p w:rsidR="00FE073E" w:rsidRPr="00FE073E" w:rsidRDefault="00FE073E" w:rsidP="00FE073E">
            <w:pPr>
              <w:ind w:firstLine="814"/>
              <w:jc w:val="both"/>
              <w:rPr>
                <w:rFonts w:eastAsia="Calibri"/>
                <w:b/>
                <w:sz w:val="28"/>
                <w:szCs w:val="28"/>
                <w:lang w:eastAsia="en-US"/>
              </w:rPr>
            </w:pPr>
            <w:r w:rsidRPr="00FE073E">
              <w:rPr>
                <w:rFonts w:eastAsia="Calibri"/>
                <w:b/>
                <w:sz w:val="28"/>
                <w:szCs w:val="28"/>
                <w:lang w:eastAsia="en-US"/>
              </w:rPr>
              <w:t>ж) в связи с применением принудительных мер медицинского характера;</w:t>
            </w:r>
          </w:p>
          <w:p w:rsidR="00FE073E" w:rsidRPr="00FE073E" w:rsidRDefault="00FE073E" w:rsidP="00FE073E">
            <w:pPr>
              <w:ind w:firstLine="814"/>
              <w:jc w:val="both"/>
              <w:rPr>
                <w:rFonts w:eastAsia="Calibri"/>
                <w:b/>
                <w:sz w:val="28"/>
                <w:szCs w:val="28"/>
                <w:lang w:eastAsia="en-US"/>
              </w:rPr>
            </w:pPr>
            <w:r w:rsidRPr="00FE073E">
              <w:rPr>
                <w:rFonts w:eastAsia="Calibri"/>
                <w:b/>
                <w:sz w:val="28"/>
                <w:szCs w:val="28"/>
                <w:lang w:eastAsia="en-US"/>
              </w:rPr>
              <w:t xml:space="preserve">з) в связи с </w:t>
            </w:r>
            <w:proofErr w:type="spellStart"/>
            <w:r w:rsidRPr="00FE073E">
              <w:rPr>
                <w:rFonts w:eastAsia="Calibri"/>
                <w:b/>
                <w:sz w:val="28"/>
                <w:szCs w:val="28"/>
                <w:lang w:eastAsia="en-US"/>
              </w:rPr>
              <w:t>недостижением</w:t>
            </w:r>
            <w:proofErr w:type="spellEnd"/>
            <w:r w:rsidRPr="00FE073E">
              <w:rPr>
                <w:rFonts w:eastAsia="Calibri"/>
                <w:b/>
                <w:sz w:val="28"/>
                <w:szCs w:val="28"/>
                <w:lang w:eastAsia="en-US"/>
              </w:rPr>
              <w:t xml:space="preserve">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FE073E" w:rsidRPr="00FE073E" w:rsidRDefault="00FE073E" w:rsidP="00FE073E">
            <w:pPr>
              <w:ind w:firstLine="814"/>
              <w:jc w:val="both"/>
              <w:rPr>
                <w:rFonts w:eastAsia="Calibri"/>
                <w:b/>
                <w:sz w:val="28"/>
                <w:szCs w:val="28"/>
                <w:lang w:eastAsia="en-US"/>
              </w:rPr>
            </w:pPr>
            <w:r w:rsidRPr="00FE073E">
              <w:rPr>
                <w:rFonts w:eastAsia="Calibri"/>
                <w:b/>
                <w:sz w:val="28"/>
                <w:szCs w:val="28"/>
                <w:lang w:eastAsia="en-US"/>
              </w:rPr>
              <w:t>и) в связи с деятельным раскаянием;</w:t>
            </w:r>
          </w:p>
          <w:p w:rsidR="00FE073E" w:rsidRPr="00FE073E" w:rsidRDefault="00FE073E" w:rsidP="00FE073E">
            <w:pPr>
              <w:ind w:firstLine="814"/>
              <w:jc w:val="both"/>
              <w:rPr>
                <w:rFonts w:eastAsia="Calibri"/>
                <w:b/>
                <w:sz w:val="28"/>
                <w:szCs w:val="28"/>
                <w:lang w:eastAsia="en-US"/>
              </w:rPr>
            </w:pPr>
            <w:r w:rsidRPr="00FE073E">
              <w:rPr>
                <w:rFonts w:eastAsia="Calibri"/>
                <w:b/>
                <w:sz w:val="28"/>
                <w:szCs w:val="28"/>
                <w:lang w:eastAsia="en-US"/>
              </w:rPr>
              <w:t>к) в связи с примирением сторон.</w:t>
            </w:r>
          </w:p>
        </w:tc>
      </w:tr>
      <w:tr w:rsidR="00FE073E" w:rsidRPr="00FE073E" w:rsidTr="00F8063B">
        <w:tc>
          <w:tcPr>
            <w:tcW w:w="5103" w:type="dxa"/>
          </w:tcPr>
          <w:p w:rsidR="00FE073E" w:rsidRPr="00FE073E" w:rsidRDefault="00FE073E" w:rsidP="00FE073E">
            <w:pPr>
              <w:jc w:val="both"/>
              <w:outlineLvl w:val="0"/>
              <w:rPr>
                <w:rFonts w:eastAsia="Calibri"/>
                <w:sz w:val="28"/>
                <w:szCs w:val="28"/>
                <w:lang w:eastAsia="en-US"/>
              </w:rPr>
            </w:pPr>
            <w:r w:rsidRPr="00FE073E">
              <w:rPr>
                <w:rFonts w:eastAsia="Calibri"/>
                <w:b/>
                <w:sz w:val="28"/>
                <w:szCs w:val="28"/>
                <w:lang w:eastAsia="en-US"/>
              </w:rPr>
              <w:lastRenderedPageBreak/>
              <w:t>Статья 405.</w:t>
            </w:r>
            <w:r w:rsidRPr="00FE073E">
              <w:rPr>
                <w:rFonts w:eastAsia="Calibri"/>
                <w:sz w:val="28"/>
                <w:szCs w:val="28"/>
                <w:lang w:eastAsia="en-US"/>
              </w:rPr>
              <w:t xml:space="preserve"> Исчисление срока подачи заявления, представления о пересмотре судебных постановлений по вновь открывшимся или новым обстоятельствам</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w:t>
            </w: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б) под</w:t>
            </w:r>
            <w:hyperlink r:id="rId6" w:history="1">
              <w:r w:rsidRPr="00FE073E">
                <w:rPr>
                  <w:rFonts w:eastAsia="Calibri"/>
                  <w:sz w:val="28"/>
                  <w:szCs w:val="28"/>
                  <w:lang w:eastAsia="en-US"/>
                </w:rPr>
                <w:t xml:space="preserve">пунктами </w:t>
              </w:r>
            </w:hyperlink>
            <w:r w:rsidRPr="00FE073E">
              <w:rPr>
                <w:rFonts w:eastAsia="Calibri"/>
                <w:sz w:val="28"/>
                <w:szCs w:val="28"/>
                <w:lang w:eastAsia="en-US"/>
              </w:rPr>
              <w:t xml:space="preserve">б) и </w:t>
            </w:r>
            <w:hyperlink r:id="rId7" w:history="1">
              <w:r w:rsidRPr="00FE073E">
                <w:rPr>
                  <w:rFonts w:eastAsia="Calibri"/>
                  <w:sz w:val="28"/>
                  <w:szCs w:val="28"/>
                  <w:lang w:eastAsia="en-US"/>
                </w:rPr>
                <w:t xml:space="preserve">в) пункта 4 статьи </w:t>
              </w:r>
            </w:hyperlink>
            <w:r w:rsidRPr="00FE073E">
              <w:rPr>
                <w:rFonts w:eastAsia="Calibri"/>
                <w:sz w:val="28"/>
                <w:szCs w:val="28"/>
                <w:lang w:eastAsia="en-US"/>
              </w:rPr>
              <w:t>402 настоящего Кодекса – со дня вступления в законную силу приговора по уголовному делу;</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w:t>
            </w:r>
          </w:p>
          <w:p w:rsidR="00FE073E" w:rsidRPr="00FE073E" w:rsidRDefault="00FE073E" w:rsidP="00FE073E">
            <w:pPr>
              <w:jc w:val="both"/>
              <w:rPr>
                <w:rFonts w:eastAsia="Calibri"/>
                <w:b/>
                <w:sz w:val="28"/>
                <w:szCs w:val="28"/>
                <w:lang w:eastAsia="en-US"/>
              </w:rPr>
            </w:pPr>
          </w:p>
        </w:tc>
        <w:tc>
          <w:tcPr>
            <w:tcW w:w="4961" w:type="dxa"/>
          </w:tcPr>
          <w:p w:rsidR="00FE073E" w:rsidRPr="00FE073E" w:rsidRDefault="00FE073E" w:rsidP="00FE073E">
            <w:pPr>
              <w:jc w:val="both"/>
              <w:outlineLvl w:val="0"/>
              <w:rPr>
                <w:rFonts w:eastAsia="Calibri"/>
                <w:sz w:val="28"/>
                <w:szCs w:val="28"/>
                <w:lang w:eastAsia="en-US"/>
              </w:rPr>
            </w:pPr>
            <w:r w:rsidRPr="00FE073E">
              <w:rPr>
                <w:rFonts w:eastAsia="Calibri"/>
                <w:b/>
                <w:sz w:val="28"/>
                <w:szCs w:val="28"/>
                <w:lang w:eastAsia="en-US"/>
              </w:rPr>
              <w:t>Статья 405.</w:t>
            </w:r>
            <w:r w:rsidRPr="00FE073E">
              <w:rPr>
                <w:rFonts w:eastAsia="Calibri"/>
                <w:sz w:val="28"/>
                <w:szCs w:val="28"/>
                <w:lang w:eastAsia="en-US"/>
              </w:rPr>
              <w:t xml:space="preserve"> Исчисление срока подачи заявления, представления о пересмотре судебных постановлений по вновь открывшимся или новым обстоятельствам</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w:t>
            </w:r>
          </w:p>
          <w:p w:rsidR="00FE073E" w:rsidRPr="00FE073E" w:rsidRDefault="00FE073E" w:rsidP="00FE073E">
            <w:pPr>
              <w:jc w:val="both"/>
              <w:rPr>
                <w:rFonts w:eastAsia="Calibri"/>
                <w:sz w:val="28"/>
                <w:szCs w:val="28"/>
                <w:lang w:eastAsia="en-US"/>
              </w:rPr>
            </w:pP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б) под</w:t>
            </w:r>
            <w:hyperlink r:id="rId8" w:history="1">
              <w:r w:rsidRPr="00FE073E">
                <w:rPr>
                  <w:rFonts w:eastAsia="Calibri"/>
                  <w:sz w:val="28"/>
                  <w:szCs w:val="28"/>
                  <w:lang w:eastAsia="en-US"/>
                </w:rPr>
                <w:t xml:space="preserve">пунктами </w:t>
              </w:r>
            </w:hyperlink>
            <w:r w:rsidRPr="00FE073E">
              <w:rPr>
                <w:rFonts w:eastAsia="Calibri"/>
                <w:sz w:val="28"/>
                <w:szCs w:val="28"/>
                <w:lang w:eastAsia="en-US"/>
              </w:rPr>
              <w:t xml:space="preserve">б) и </w:t>
            </w:r>
            <w:hyperlink r:id="rId9" w:history="1">
              <w:r w:rsidRPr="00FE073E">
                <w:rPr>
                  <w:rFonts w:eastAsia="Calibri"/>
                  <w:sz w:val="28"/>
                  <w:szCs w:val="28"/>
                  <w:lang w:eastAsia="en-US"/>
                </w:rPr>
                <w:t xml:space="preserve">в) пункта 4 статьи </w:t>
              </w:r>
            </w:hyperlink>
            <w:r w:rsidRPr="00FE073E">
              <w:rPr>
                <w:rFonts w:eastAsia="Calibri"/>
                <w:sz w:val="28"/>
                <w:szCs w:val="28"/>
                <w:lang w:eastAsia="en-US"/>
              </w:rPr>
              <w:t>402 настоящего Кодекса – со дня вступления в законную силу приговора по уголовному делу</w:t>
            </w:r>
            <w:r w:rsidRPr="00FE073E">
              <w:rPr>
                <w:rFonts w:eastAsiaTheme="minorHAnsi"/>
                <w:b/>
                <w:color w:val="000000"/>
                <w:sz w:val="28"/>
                <w:szCs w:val="28"/>
                <w:shd w:val="clear" w:color="auto" w:fill="FFFFFF"/>
                <w:lang w:eastAsia="en-US"/>
              </w:rPr>
              <w:t>,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rsidR="00FE073E" w:rsidRPr="00FE073E" w:rsidRDefault="00FE073E" w:rsidP="00FE073E">
            <w:pPr>
              <w:jc w:val="both"/>
              <w:rPr>
                <w:rFonts w:eastAsia="Calibri"/>
                <w:sz w:val="28"/>
                <w:szCs w:val="28"/>
                <w:lang w:eastAsia="en-US"/>
              </w:rPr>
            </w:pPr>
            <w:r w:rsidRPr="00FE073E">
              <w:rPr>
                <w:rFonts w:eastAsia="Calibri"/>
                <w:sz w:val="28"/>
                <w:szCs w:val="28"/>
                <w:lang w:eastAsia="en-US"/>
              </w:rPr>
              <w:tab/>
              <w:t>…</w:t>
            </w:r>
          </w:p>
          <w:p w:rsidR="00FE073E" w:rsidRPr="00FE073E" w:rsidRDefault="00FE073E" w:rsidP="00FE073E">
            <w:pPr>
              <w:rPr>
                <w:rFonts w:asciiTheme="minorHAnsi" w:eastAsiaTheme="minorHAnsi" w:hAnsiTheme="minorHAnsi" w:cstheme="minorBidi"/>
                <w:sz w:val="22"/>
                <w:szCs w:val="22"/>
                <w:lang w:eastAsia="en-US"/>
              </w:rPr>
            </w:pPr>
          </w:p>
        </w:tc>
      </w:tr>
    </w:tbl>
    <w:p w:rsidR="00FE073E" w:rsidRPr="00FE073E" w:rsidRDefault="00FE073E" w:rsidP="00FE073E">
      <w:pPr>
        <w:spacing w:after="160" w:line="259" w:lineRule="auto"/>
        <w:rPr>
          <w:rFonts w:asciiTheme="minorHAnsi" w:eastAsiaTheme="minorHAnsi" w:hAnsiTheme="minorHAnsi" w:cstheme="minorBidi"/>
          <w:sz w:val="22"/>
          <w:szCs w:val="22"/>
          <w:lang w:eastAsia="en-US"/>
        </w:rPr>
      </w:pPr>
    </w:p>
    <w:p w:rsidR="003D28E8" w:rsidRPr="00190670" w:rsidRDefault="003D28E8" w:rsidP="00190670">
      <w:bookmarkStart w:id="0" w:name="_GoBack"/>
      <w:bookmarkEnd w:id="0"/>
    </w:p>
    <w:sectPr w:rsidR="003D28E8" w:rsidRPr="00190670" w:rsidSect="006E3E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1279"/>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EB858D1CB7035CF291E5AA25D4056A69634E895A0D299F2711619B6D54F61EFE5A9748A4x7a2J" TargetMode="External"/><Relationship Id="rId3" Type="http://schemas.openxmlformats.org/officeDocument/2006/relationships/styles" Target="styles.xml"/><Relationship Id="rId7" Type="http://schemas.openxmlformats.org/officeDocument/2006/relationships/hyperlink" Target="consultantplus://offline/ref=5DEB858D1CB7035CF291E5AA25D4056A69634E895A0D299F2711619B6D54F61EFE5A9748A4x7a1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DEB858D1CB7035CF291E5AA25D4056A69634E895A0D299F2711619B6D54F61EFE5A9748A4x7a2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DEB858D1CB7035CF291E5AA25D4056A69634E895A0D299F2711619B6D54F61EFE5A9748A4x7a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CD64-2C04-4500-ADC5-EB309B72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33</cp:revision>
  <cp:lastPrinted>2026-01-30T06:58:00Z</cp:lastPrinted>
  <dcterms:created xsi:type="dcterms:W3CDTF">2026-02-09T12:39:00Z</dcterms:created>
  <dcterms:modified xsi:type="dcterms:W3CDTF">2026-02-19T09:23:00Z</dcterms:modified>
</cp:coreProperties>
</file>