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91D" w:rsidRPr="006D7145" w:rsidRDefault="006D091D" w:rsidP="006D091D">
      <w:pPr>
        <w:pStyle w:val="a8"/>
        <w:jc w:val="center"/>
        <w:rPr>
          <w:b/>
        </w:rPr>
      </w:pPr>
      <w:r w:rsidRPr="006D7145">
        <w:rPr>
          <w:b/>
        </w:rPr>
        <w:t>Сравнительная таблица</w:t>
      </w:r>
    </w:p>
    <w:p w:rsidR="006D091D" w:rsidRPr="0015494F" w:rsidRDefault="006D091D" w:rsidP="006D091D">
      <w:pPr>
        <w:pStyle w:val="a8"/>
        <w:jc w:val="center"/>
        <w:rPr>
          <w:b/>
        </w:rPr>
      </w:pPr>
      <w:r w:rsidRPr="0015494F">
        <w:rPr>
          <w:b/>
        </w:rPr>
        <w:t>к проекту закона Приднестровской Молдавской Республики</w:t>
      </w:r>
    </w:p>
    <w:p w:rsidR="006D091D" w:rsidRPr="0015494F" w:rsidRDefault="006D091D" w:rsidP="006D091D">
      <w:pPr>
        <w:jc w:val="center"/>
        <w:rPr>
          <w:b/>
          <w:szCs w:val="28"/>
        </w:rPr>
      </w:pPr>
      <w:r w:rsidRPr="0015494F">
        <w:rPr>
          <w:b/>
          <w:szCs w:val="28"/>
        </w:rPr>
        <w:t>«О внесении дополнени</w:t>
      </w:r>
      <w:r>
        <w:rPr>
          <w:b/>
          <w:szCs w:val="28"/>
        </w:rPr>
        <w:t>я</w:t>
      </w:r>
      <w:r w:rsidRPr="0015494F">
        <w:rPr>
          <w:b/>
          <w:szCs w:val="28"/>
        </w:rPr>
        <w:t xml:space="preserve"> в Закон Приднестровской Молдавской Республики «О порядке проведения проверок при осуществлении государственного контроля (надзора)»</w:t>
      </w:r>
    </w:p>
    <w:p w:rsidR="006D091D" w:rsidRDefault="006D091D" w:rsidP="006D091D">
      <w:pPr>
        <w:pStyle w:val="a8"/>
        <w:jc w:val="center"/>
      </w:pPr>
    </w:p>
    <w:tbl>
      <w:tblPr>
        <w:tblStyle w:val="ad"/>
        <w:tblW w:w="0" w:type="auto"/>
        <w:tblLook w:val="04A0" w:firstRow="1" w:lastRow="0" w:firstColumn="1" w:lastColumn="0" w:noHBand="0" w:noVBand="1"/>
      </w:tblPr>
      <w:tblGrid>
        <w:gridCol w:w="4672"/>
        <w:gridCol w:w="4673"/>
      </w:tblGrid>
      <w:tr w:rsidR="006D091D" w:rsidTr="009A42A0">
        <w:tc>
          <w:tcPr>
            <w:tcW w:w="4672" w:type="dxa"/>
          </w:tcPr>
          <w:p w:rsidR="006D091D" w:rsidRDefault="006D091D" w:rsidP="009A42A0">
            <w:pPr>
              <w:pStyle w:val="a8"/>
              <w:jc w:val="center"/>
            </w:pPr>
            <w:r>
              <w:t>Действующая редакция</w:t>
            </w:r>
          </w:p>
        </w:tc>
        <w:tc>
          <w:tcPr>
            <w:tcW w:w="4673" w:type="dxa"/>
          </w:tcPr>
          <w:p w:rsidR="006D091D" w:rsidRDefault="006D091D" w:rsidP="009A42A0">
            <w:pPr>
              <w:pStyle w:val="a8"/>
              <w:jc w:val="center"/>
            </w:pPr>
            <w:r>
              <w:t>Предлагаемая редакция</w:t>
            </w:r>
          </w:p>
        </w:tc>
      </w:tr>
      <w:tr w:rsidR="006D091D" w:rsidRPr="00650E0F" w:rsidTr="009A42A0">
        <w:tc>
          <w:tcPr>
            <w:tcW w:w="4672" w:type="dxa"/>
          </w:tcPr>
          <w:p w:rsidR="006D091D" w:rsidRPr="00650E0F" w:rsidRDefault="006D091D" w:rsidP="009A42A0">
            <w:pPr>
              <w:pStyle w:val="ab"/>
              <w:ind w:firstLine="720"/>
              <w:jc w:val="both"/>
              <w:outlineLvl w:val="0"/>
              <w:rPr>
                <w:rFonts w:ascii="Times New Roman" w:hAnsi="Times New Roman" w:cs="Times New Roman"/>
              </w:rPr>
            </w:pPr>
            <w:r w:rsidRPr="00650E0F">
              <w:rPr>
                <w:rFonts w:ascii="Times New Roman" w:hAnsi="Times New Roman" w:cs="Times New Roman"/>
                <w:b/>
              </w:rPr>
              <w:t>Статья 8.</w:t>
            </w:r>
            <w:r w:rsidRPr="00650E0F">
              <w:rPr>
                <w:rFonts w:ascii="Times New Roman" w:hAnsi="Times New Roman" w:cs="Times New Roman"/>
              </w:rPr>
              <w:t xml:space="preserve"> Режимы государственного контроля (надзора)</w:t>
            </w:r>
          </w:p>
          <w:p w:rsidR="006D091D" w:rsidRPr="00650E0F" w:rsidRDefault="006D091D" w:rsidP="009A42A0">
            <w:pPr>
              <w:pStyle w:val="ab"/>
              <w:jc w:val="both"/>
              <w:rPr>
                <w:rFonts w:ascii="Times New Roman" w:hAnsi="Times New Roman" w:cs="Times New Roman"/>
                <w:b/>
                <w:i/>
              </w:rPr>
            </w:pPr>
          </w:p>
          <w:p w:rsidR="006D091D" w:rsidRPr="00650E0F" w:rsidRDefault="006D091D" w:rsidP="009A42A0">
            <w:pPr>
              <w:pStyle w:val="ab"/>
              <w:ind w:firstLine="708"/>
              <w:jc w:val="both"/>
              <w:rPr>
                <w:rFonts w:ascii="Times New Roman" w:hAnsi="Times New Roman" w:cs="Times New Roman"/>
              </w:rPr>
            </w:pPr>
            <w:r w:rsidRPr="00650E0F">
              <w:rPr>
                <w:rFonts w:ascii="Times New Roman" w:hAnsi="Times New Roman" w:cs="Times New Roman"/>
              </w:rPr>
              <w:t xml:space="preserve">1. В отношении одного юридического лица, физического лица, в том числе индивидуального предпринимателя, контрольное мероприятие может быть проведено не более одного раза в три года, за исключением случаев, предусмотренных пунктами 2–6 настоящей статьи, подпунктом в) </w:t>
            </w:r>
            <w:r w:rsidRPr="00650E0F">
              <w:rPr>
                <w:rFonts w:ascii="Times New Roman" w:hAnsi="Times New Roman" w:cs="Times New Roman"/>
              </w:rPr>
              <w:br/>
              <w:t>части второй пункта 3 статьи 11 настоящего Закона.</w:t>
            </w:r>
          </w:p>
          <w:p w:rsidR="006D091D" w:rsidRPr="00650E0F" w:rsidRDefault="006D091D" w:rsidP="009A42A0">
            <w:pPr>
              <w:pStyle w:val="ab"/>
              <w:ind w:firstLine="708"/>
              <w:jc w:val="both"/>
              <w:rPr>
                <w:rFonts w:ascii="Times New Roman" w:hAnsi="Times New Roman" w:cs="Times New Roman"/>
              </w:rPr>
            </w:pPr>
            <w:r w:rsidRPr="00650E0F">
              <w:rPr>
                <w:rFonts w:ascii="Times New Roman" w:hAnsi="Times New Roman"/>
              </w:rPr>
              <w:t>Срок проведения контрольных мероприятий в отношении юридических лиц, приостановивших деятельность в соответствии с действующим законодательством Приднестровской Молдавской Республики, приостанавливается на весь период срока приостановления деятельности юридического лица. С момента возобновления деятельности юридического лица течение сроков проведения контрольных мероприятий возобновляется</w:t>
            </w:r>
          </w:p>
          <w:p w:rsidR="006D091D" w:rsidRDefault="006D091D" w:rsidP="009A42A0">
            <w:pPr>
              <w:pStyle w:val="ab"/>
              <w:ind w:firstLine="720"/>
              <w:jc w:val="both"/>
              <w:rPr>
                <w:rFonts w:ascii="Times New Roman" w:hAnsi="Times New Roman" w:cs="Times New Roman"/>
              </w:rPr>
            </w:pPr>
            <w:r w:rsidRPr="00650E0F">
              <w:rPr>
                <w:rFonts w:ascii="Times New Roman" w:hAnsi="Times New Roman" w:cs="Times New Roman"/>
              </w:rPr>
              <w:t xml:space="preserve">При подготовке проведения плановых контрольных мероприятий орган государственного контроля (надзора) в обязательном порядке письменно извещает об этом координирующий орган, который организует совместную проверку с органами государственной власти, которые в соответствии со своей компетенцией могут принимать участие в проверке юридического лица, физического лица, в том числе индивидуального предпринимателя, для </w:t>
            </w:r>
            <w:r w:rsidRPr="00572BC6">
              <w:rPr>
                <w:rFonts w:ascii="Times New Roman" w:hAnsi="Times New Roman" w:cs="Times New Roman"/>
              </w:rPr>
              <w:t>придания контрольному мероприятию характера совместного.</w:t>
            </w:r>
          </w:p>
          <w:p w:rsidR="006D091D" w:rsidRPr="00845CA3" w:rsidRDefault="006D091D" w:rsidP="009A42A0">
            <w:pPr>
              <w:pStyle w:val="ab"/>
              <w:ind w:firstLine="720"/>
              <w:jc w:val="both"/>
              <w:rPr>
                <w:rFonts w:ascii="Times New Roman" w:hAnsi="Times New Roman" w:cs="Times New Roman"/>
              </w:rPr>
            </w:pPr>
            <w:r w:rsidRPr="00845CA3">
              <w:rPr>
                <w:rFonts w:ascii="Times New Roman" w:hAnsi="Times New Roman" w:cs="Times New Roman"/>
              </w:rPr>
              <w:t>Проведение плановых мероприятий не совместного характера не допускается.</w:t>
            </w:r>
          </w:p>
          <w:p w:rsidR="006D091D" w:rsidRPr="00650E0F" w:rsidRDefault="006D091D" w:rsidP="009A42A0">
            <w:pPr>
              <w:pStyle w:val="ab"/>
              <w:ind w:firstLine="720"/>
              <w:jc w:val="both"/>
              <w:rPr>
                <w:rFonts w:ascii="Times New Roman" w:hAnsi="Times New Roman" w:cs="Times New Roman"/>
                <w:b/>
              </w:rPr>
            </w:pPr>
            <w:r>
              <w:rPr>
                <w:rFonts w:ascii="Times New Roman" w:hAnsi="Times New Roman" w:cs="Times New Roman"/>
                <w:b/>
              </w:rPr>
              <w:t>отсутствует</w:t>
            </w:r>
          </w:p>
          <w:p w:rsidR="006D091D" w:rsidRPr="00650E0F" w:rsidRDefault="006D091D" w:rsidP="009A42A0">
            <w:pPr>
              <w:jc w:val="both"/>
              <w:rPr>
                <w:sz w:val="22"/>
              </w:rPr>
            </w:pPr>
            <w:r w:rsidRPr="00650E0F">
              <w:rPr>
                <w:sz w:val="22"/>
              </w:rPr>
              <w:tab/>
              <w:t>Плановые проверки проводятся на основании ежегодных планов, разработанных органами государственного контроля (надзора) в соответствии с их полномочиями и согласованных с Прокуратурой Приднестровской Молдавской Республики.</w:t>
            </w:r>
          </w:p>
          <w:p w:rsidR="006D091D" w:rsidRPr="00650E0F" w:rsidRDefault="006D091D" w:rsidP="009A42A0">
            <w:pPr>
              <w:jc w:val="both"/>
              <w:rPr>
                <w:sz w:val="22"/>
              </w:rPr>
            </w:pPr>
            <w:r w:rsidRPr="00650E0F">
              <w:rPr>
                <w:spacing w:val="-4"/>
                <w:sz w:val="22"/>
              </w:rPr>
              <w:tab/>
              <w:t xml:space="preserve">В срок до 1 декабря года, предшествующего году проведения плановых проверок, органы государственного контроля (надзора) направляют в порядке, установленном Правительством Приднестровской Молдавской Республики, проекты сформированных ежегодных планов проведения проверок для согласования в Прокуратуру Приднестровской Молдавской Республики. </w:t>
            </w:r>
            <w:r w:rsidRPr="00650E0F">
              <w:rPr>
                <w:spacing w:val="-4"/>
                <w:sz w:val="22"/>
              </w:rPr>
              <w:br/>
              <w:t xml:space="preserve">При этом сформированный в системе </w:t>
            </w:r>
            <w:r w:rsidRPr="00650E0F">
              <w:rPr>
                <w:spacing w:val="-4"/>
                <w:sz w:val="22"/>
              </w:rPr>
              <w:lastRenderedPageBreak/>
              <w:t>исполнительных органов государственной власти сводный план проведения проверок направляется для согласования в Прокуратуру Приднестровской Молдавской Республики координирующим органом. Форма и содержание ежегодного сводного плана проведения проверок устанавливаются Правительством Приднестровской Молдавской Республики. В случаях корректировки ежегодных планов проведения проверок в порядке, установленном Правительством Приднестровской Молдавской Республики, органы государственного контроля (надзора), а</w:t>
            </w:r>
            <w:r w:rsidRPr="00650E0F">
              <w:rPr>
                <w:spacing w:val="-4"/>
                <w:sz w:val="22"/>
                <w:vertAlign w:val="superscript"/>
              </w:rPr>
              <w:t xml:space="preserve"> </w:t>
            </w:r>
            <w:r w:rsidRPr="00650E0F">
              <w:rPr>
                <w:spacing w:val="-4"/>
                <w:sz w:val="22"/>
              </w:rPr>
              <w:t>в системе исполнительных органов государственной власти – координирующий орган, также направляют проекты корректировок ежегодных планов для согласования в Прокуратуру Приднестровской Молдавской Республики</w:t>
            </w:r>
            <w:r w:rsidRPr="00650E0F">
              <w:rPr>
                <w:sz w:val="22"/>
              </w:rPr>
              <w:t xml:space="preserve">. </w:t>
            </w:r>
          </w:p>
          <w:p w:rsidR="006D091D" w:rsidRPr="00650E0F" w:rsidRDefault="006D091D" w:rsidP="009A42A0">
            <w:pPr>
              <w:jc w:val="both"/>
              <w:rPr>
                <w:sz w:val="22"/>
              </w:rPr>
            </w:pPr>
            <w:r w:rsidRPr="00650E0F">
              <w:rPr>
                <w:sz w:val="22"/>
              </w:rPr>
              <w:tab/>
            </w:r>
          </w:p>
          <w:p w:rsidR="006D091D" w:rsidRPr="00650E0F" w:rsidRDefault="006D091D" w:rsidP="009A42A0">
            <w:pPr>
              <w:jc w:val="both"/>
              <w:rPr>
                <w:sz w:val="22"/>
              </w:rPr>
            </w:pPr>
            <w:r w:rsidRPr="00650E0F">
              <w:rPr>
                <w:sz w:val="22"/>
              </w:rPr>
              <w:t>………………………………..</w:t>
            </w:r>
          </w:p>
          <w:p w:rsidR="006D091D" w:rsidRPr="00650E0F" w:rsidRDefault="006D091D" w:rsidP="009A42A0">
            <w:pPr>
              <w:jc w:val="both"/>
              <w:rPr>
                <w:sz w:val="22"/>
              </w:rPr>
            </w:pPr>
          </w:p>
          <w:p w:rsidR="006D091D" w:rsidRPr="00650E0F" w:rsidRDefault="006D091D" w:rsidP="009A42A0">
            <w:pPr>
              <w:jc w:val="both"/>
              <w:rPr>
                <w:sz w:val="22"/>
              </w:rPr>
            </w:pPr>
          </w:p>
          <w:p w:rsidR="006D091D" w:rsidRPr="00650E0F" w:rsidRDefault="006D091D" w:rsidP="009A42A0">
            <w:pPr>
              <w:jc w:val="both"/>
              <w:rPr>
                <w:sz w:val="22"/>
              </w:rPr>
            </w:pPr>
          </w:p>
        </w:tc>
        <w:tc>
          <w:tcPr>
            <w:tcW w:w="4673" w:type="dxa"/>
          </w:tcPr>
          <w:p w:rsidR="006D091D" w:rsidRPr="00650E0F" w:rsidRDefault="006D091D" w:rsidP="009A42A0">
            <w:pPr>
              <w:pStyle w:val="ab"/>
              <w:ind w:firstLine="720"/>
              <w:jc w:val="both"/>
              <w:outlineLvl w:val="0"/>
              <w:rPr>
                <w:rFonts w:ascii="Times New Roman" w:hAnsi="Times New Roman" w:cs="Times New Roman"/>
              </w:rPr>
            </w:pPr>
            <w:r w:rsidRPr="00650E0F">
              <w:rPr>
                <w:rFonts w:ascii="Times New Roman" w:hAnsi="Times New Roman" w:cs="Times New Roman"/>
                <w:b/>
              </w:rPr>
              <w:lastRenderedPageBreak/>
              <w:t>Статья 8.</w:t>
            </w:r>
            <w:r w:rsidRPr="00650E0F">
              <w:rPr>
                <w:rFonts w:ascii="Times New Roman" w:hAnsi="Times New Roman" w:cs="Times New Roman"/>
              </w:rPr>
              <w:t xml:space="preserve"> Режимы государственного контроля (надзора)</w:t>
            </w:r>
          </w:p>
          <w:p w:rsidR="006D091D" w:rsidRPr="00650E0F" w:rsidRDefault="006D091D" w:rsidP="009A42A0">
            <w:pPr>
              <w:pStyle w:val="ab"/>
              <w:jc w:val="both"/>
              <w:rPr>
                <w:rFonts w:ascii="Times New Roman" w:hAnsi="Times New Roman" w:cs="Times New Roman"/>
                <w:b/>
                <w:i/>
              </w:rPr>
            </w:pPr>
          </w:p>
          <w:p w:rsidR="006D091D" w:rsidRPr="00650E0F" w:rsidRDefault="006D091D" w:rsidP="009A42A0">
            <w:pPr>
              <w:pStyle w:val="ab"/>
              <w:ind w:firstLine="708"/>
              <w:jc w:val="both"/>
              <w:rPr>
                <w:rFonts w:ascii="Times New Roman" w:hAnsi="Times New Roman" w:cs="Times New Roman"/>
              </w:rPr>
            </w:pPr>
            <w:r w:rsidRPr="00650E0F">
              <w:rPr>
                <w:rFonts w:ascii="Times New Roman" w:hAnsi="Times New Roman" w:cs="Times New Roman"/>
              </w:rPr>
              <w:t xml:space="preserve">1. В отношении одного юридического лица, физического лица, в том числе индивидуального предпринимателя, контрольное мероприятие может быть проведено не более одного раза в три года, за исключением случаев, предусмотренных пунктами 2–6 настоящей статьи, подпунктом в) </w:t>
            </w:r>
            <w:r w:rsidRPr="00650E0F">
              <w:rPr>
                <w:rFonts w:ascii="Times New Roman" w:hAnsi="Times New Roman" w:cs="Times New Roman"/>
              </w:rPr>
              <w:br/>
              <w:t>части второй пункта 3 статьи 11 настоящего Закона.</w:t>
            </w:r>
          </w:p>
          <w:p w:rsidR="006D091D" w:rsidRPr="00650E0F" w:rsidRDefault="006D091D" w:rsidP="009A42A0">
            <w:pPr>
              <w:pStyle w:val="ab"/>
              <w:ind w:firstLine="708"/>
              <w:jc w:val="both"/>
              <w:rPr>
                <w:rFonts w:ascii="Times New Roman" w:hAnsi="Times New Roman" w:cs="Times New Roman"/>
              </w:rPr>
            </w:pPr>
            <w:r w:rsidRPr="00650E0F">
              <w:rPr>
                <w:rFonts w:ascii="Times New Roman" w:hAnsi="Times New Roman"/>
              </w:rPr>
              <w:t>Срок проведения контрольных мероприятий в отношении юридических лиц, приостановивших деятельность в соответствии с действующим законодательством Приднестровской Молдавской Республики, приостанавливается на весь период срока приостановления деятельности юридического лица. С момента возобновления деятельности юридического лица течение сроков проведения контрольных мероприятий возобновляется</w:t>
            </w:r>
          </w:p>
          <w:p w:rsidR="006D091D" w:rsidRPr="00845CA3" w:rsidRDefault="006D091D" w:rsidP="009A42A0">
            <w:pPr>
              <w:pStyle w:val="ab"/>
              <w:ind w:firstLine="720"/>
              <w:jc w:val="both"/>
              <w:rPr>
                <w:rFonts w:ascii="Times New Roman" w:hAnsi="Times New Roman" w:cs="Times New Roman"/>
              </w:rPr>
            </w:pPr>
            <w:r w:rsidRPr="00650E0F">
              <w:rPr>
                <w:rFonts w:ascii="Times New Roman" w:hAnsi="Times New Roman" w:cs="Times New Roman"/>
              </w:rPr>
              <w:t xml:space="preserve">При подготовке проведения плановых контрольных мероприятий орган государственного контроля (надзора) в обязательном порядке письменно извещает об этом координирующий орган, </w:t>
            </w:r>
            <w:r w:rsidRPr="005573D6">
              <w:rPr>
                <w:rFonts w:ascii="Times New Roman" w:hAnsi="Times New Roman" w:cs="Times New Roman"/>
              </w:rPr>
              <w:t>который организует совместную проверку</w:t>
            </w:r>
            <w:r w:rsidRPr="00650E0F">
              <w:rPr>
                <w:rFonts w:ascii="Times New Roman" w:hAnsi="Times New Roman" w:cs="Times New Roman"/>
              </w:rPr>
              <w:t xml:space="preserve"> с органами государственной власти, которые в соответствии со своей компетенцией могут принимать участие в проверке юридического лица, физического лица, в том числе индивидуального предпринимателя, для придания контрольному ме</w:t>
            </w:r>
            <w:r>
              <w:rPr>
                <w:rFonts w:ascii="Times New Roman" w:hAnsi="Times New Roman" w:cs="Times New Roman"/>
              </w:rPr>
              <w:t>роприятию характера совместного.</w:t>
            </w:r>
          </w:p>
          <w:p w:rsidR="006D091D" w:rsidRPr="00845CA3" w:rsidRDefault="006D091D" w:rsidP="009A42A0">
            <w:pPr>
              <w:jc w:val="both"/>
              <w:rPr>
                <w:sz w:val="22"/>
              </w:rPr>
            </w:pPr>
            <w:r w:rsidRPr="00845CA3">
              <w:rPr>
                <w:sz w:val="22"/>
              </w:rPr>
              <w:t xml:space="preserve">           Проведение плановых мероприятий не совместного характера не допускается, </w:t>
            </w:r>
            <w:r w:rsidRPr="00845CA3">
              <w:rPr>
                <w:b/>
                <w:sz w:val="22"/>
              </w:rPr>
              <w:t>за исключением плановых мероприятий, проводимых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на предмет соблюдения законодательства Приднестровской Молдавской Республики в области образования, лицензионных требований и условий к осуществлению образовательной деятельности, с соблюдением условий периодичности планового контроля и других требований к порядку осуществления контроля, установленных настоящим Законом.</w:t>
            </w:r>
            <w:r w:rsidRPr="00845CA3">
              <w:rPr>
                <w:sz w:val="22"/>
              </w:rPr>
              <w:t xml:space="preserve"> </w:t>
            </w:r>
          </w:p>
          <w:p w:rsidR="006D091D" w:rsidRPr="00845CA3" w:rsidRDefault="006D091D" w:rsidP="009A42A0">
            <w:pPr>
              <w:jc w:val="both"/>
              <w:rPr>
                <w:sz w:val="22"/>
              </w:rPr>
            </w:pPr>
            <w:r w:rsidRPr="00845CA3">
              <w:rPr>
                <w:sz w:val="22"/>
              </w:rPr>
              <w:tab/>
              <w:t xml:space="preserve">Плановые проверки проводятся на основании ежегодных планов, разработанных </w:t>
            </w:r>
            <w:r w:rsidRPr="00845CA3">
              <w:rPr>
                <w:sz w:val="22"/>
              </w:rPr>
              <w:lastRenderedPageBreak/>
              <w:t>органами государственного контроля (надзора) в соответствии с их полномочиями и согласованных с Прокуратурой Приднестровской Молдавской Республики.</w:t>
            </w:r>
          </w:p>
          <w:p w:rsidR="006D091D" w:rsidRPr="00845CA3" w:rsidRDefault="006D091D" w:rsidP="009A42A0">
            <w:pPr>
              <w:jc w:val="both"/>
              <w:rPr>
                <w:sz w:val="22"/>
              </w:rPr>
            </w:pPr>
            <w:r w:rsidRPr="00845CA3">
              <w:rPr>
                <w:spacing w:val="-4"/>
                <w:sz w:val="22"/>
              </w:rPr>
              <w:tab/>
            </w:r>
          </w:p>
          <w:p w:rsidR="006D091D" w:rsidRPr="00650E0F" w:rsidRDefault="006D091D" w:rsidP="009A42A0">
            <w:pPr>
              <w:jc w:val="both"/>
              <w:rPr>
                <w:sz w:val="22"/>
              </w:rPr>
            </w:pPr>
          </w:p>
          <w:p w:rsidR="006D091D" w:rsidRPr="00650E0F" w:rsidRDefault="006D091D" w:rsidP="009A42A0">
            <w:pPr>
              <w:jc w:val="both"/>
              <w:rPr>
                <w:sz w:val="22"/>
              </w:rPr>
            </w:pPr>
            <w:r w:rsidRPr="00650E0F">
              <w:rPr>
                <w:sz w:val="22"/>
              </w:rPr>
              <w:t>………………………………..</w:t>
            </w:r>
          </w:p>
          <w:p w:rsidR="006D091D" w:rsidRPr="00650E0F" w:rsidRDefault="006D091D" w:rsidP="009A42A0">
            <w:pPr>
              <w:jc w:val="both"/>
              <w:rPr>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b/>
                <w:sz w:val="22"/>
              </w:rPr>
            </w:pPr>
          </w:p>
          <w:p w:rsidR="006D091D" w:rsidRPr="00650E0F" w:rsidRDefault="006D091D" w:rsidP="009A42A0">
            <w:pPr>
              <w:shd w:val="clear" w:color="auto" w:fill="FFFFFF"/>
              <w:ind w:firstLine="284"/>
              <w:jc w:val="both"/>
              <w:rPr>
                <w:sz w:val="22"/>
                <w:shd w:val="clear" w:color="auto" w:fill="FFFFFF"/>
              </w:rPr>
            </w:pPr>
          </w:p>
          <w:p w:rsidR="006D091D" w:rsidRPr="00650E0F" w:rsidRDefault="006D091D" w:rsidP="009A42A0">
            <w:pPr>
              <w:shd w:val="clear" w:color="auto" w:fill="FFFFFF"/>
              <w:ind w:firstLine="284"/>
              <w:jc w:val="both"/>
              <w:rPr>
                <w:sz w:val="22"/>
                <w:shd w:val="clear" w:color="auto" w:fill="FFFFFF"/>
              </w:rPr>
            </w:pPr>
          </w:p>
          <w:p w:rsidR="006D091D" w:rsidRPr="00650E0F" w:rsidRDefault="006D091D" w:rsidP="009A42A0">
            <w:pPr>
              <w:shd w:val="clear" w:color="auto" w:fill="FFFFFF"/>
              <w:ind w:firstLine="284"/>
              <w:jc w:val="both"/>
              <w:rPr>
                <w:sz w:val="22"/>
                <w:shd w:val="clear" w:color="auto" w:fill="FFFFFF"/>
              </w:rPr>
            </w:pPr>
          </w:p>
        </w:tc>
      </w:tr>
    </w:tbl>
    <w:p w:rsidR="003D28E8" w:rsidRPr="006D091D" w:rsidRDefault="003D28E8" w:rsidP="006D091D">
      <w:bookmarkStart w:id="0" w:name="_GoBack"/>
      <w:bookmarkEnd w:id="0"/>
    </w:p>
    <w:sectPr w:rsidR="003D28E8" w:rsidRPr="006D091D" w:rsidSect="006E3E3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69C4"/>
    <w:rsid w:val="006A2690"/>
    <w:rsid w:val="006A7958"/>
    <w:rsid w:val="006B048E"/>
    <w:rsid w:val="006D091D"/>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A8D8A-3F80-40DC-A8DD-056CDBC0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50</cp:revision>
  <cp:lastPrinted>2026-01-30T06:58:00Z</cp:lastPrinted>
  <dcterms:created xsi:type="dcterms:W3CDTF">2026-02-09T12:39:00Z</dcterms:created>
  <dcterms:modified xsi:type="dcterms:W3CDTF">2026-02-20T08:50:00Z</dcterms:modified>
</cp:coreProperties>
</file>