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E5C" w:rsidRPr="00693E5C" w:rsidRDefault="00693E5C" w:rsidP="00693E5C">
      <w:pPr>
        <w:jc w:val="center"/>
        <w:rPr>
          <w:rFonts w:eastAsia="Calibri"/>
          <w:kern w:val="2"/>
          <w:sz w:val="28"/>
          <w:szCs w:val="28"/>
          <w:lang w:eastAsia="en-US"/>
          <w14:ligatures w14:val="standardContextual"/>
        </w:rPr>
      </w:pPr>
      <w:r w:rsidRPr="00693E5C">
        <w:rPr>
          <w:rFonts w:eastAsia="Calibri"/>
          <w:kern w:val="2"/>
          <w:sz w:val="28"/>
          <w:szCs w:val="28"/>
          <w:lang w:eastAsia="en-US"/>
          <w14:ligatures w14:val="standardContextual"/>
        </w:rPr>
        <w:t>СРАВНИТЕЛЬНАЯ ТАБЛИЦА</w:t>
      </w:r>
    </w:p>
    <w:p w:rsidR="00693E5C" w:rsidRPr="00693E5C" w:rsidRDefault="00693E5C" w:rsidP="00693E5C">
      <w:pPr>
        <w:jc w:val="center"/>
        <w:rPr>
          <w:rFonts w:eastAsia="Calibri"/>
          <w:kern w:val="2"/>
          <w:sz w:val="28"/>
          <w:szCs w:val="28"/>
          <w:lang w:eastAsia="en-US"/>
          <w14:ligatures w14:val="standardContextual"/>
        </w:rPr>
      </w:pPr>
      <w:r w:rsidRPr="00693E5C">
        <w:rPr>
          <w:rFonts w:eastAsia="Calibri"/>
          <w:kern w:val="2"/>
          <w:sz w:val="28"/>
          <w:szCs w:val="28"/>
          <w:lang w:eastAsia="en-US"/>
          <w14:ligatures w14:val="standardContextual"/>
        </w:rPr>
        <w:t xml:space="preserve">к проекту закона Приднестровской Молдавской Республики </w:t>
      </w:r>
    </w:p>
    <w:p w:rsidR="00693E5C" w:rsidRPr="00693E5C" w:rsidRDefault="00693E5C" w:rsidP="00693E5C">
      <w:pPr>
        <w:jc w:val="center"/>
        <w:rPr>
          <w:rFonts w:eastAsia="Calibri"/>
          <w:kern w:val="2"/>
          <w:sz w:val="28"/>
          <w:szCs w:val="28"/>
          <w:lang w:eastAsia="en-US"/>
          <w14:ligatures w14:val="standardContextual"/>
        </w:rPr>
      </w:pPr>
      <w:r w:rsidRPr="00693E5C">
        <w:rPr>
          <w:rFonts w:eastAsia="Calibri"/>
          <w:kern w:val="2"/>
          <w:sz w:val="28"/>
          <w:szCs w:val="28"/>
          <w:lang w:eastAsia="en-US"/>
          <w14:ligatures w14:val="standardContextual"/>
        </w:rPr>
        <w:t>«О внесении дополнения в Закон Приднестровской Молдавской Республики «О приобретении государством и муниципальными образованиями Приднестровской Молдавской Республики выморочного имущества»</w:t>
      </w:r>
    </w:p>
    <w:p w:rsidR="00693E5C" w:rsidRPr="00693E5C" w:rsidRDefault="00693E5C" w:rsidP="00693E5C">
      <w:pPr>
        <w:jc w:val="center"/>
        <w:rPr>
          <w:rFonts w:eastAsia="Calibri"/>
          <w:kern w:val="2"/>
          <w:sz w:val="28"/>
          <w:szCs w:val="28"/>
          <w:lang w:eastAsia="en-US"/>
          <w14:ligatures w14:val="standardContextual"/>
        </w:rPr>
      </w:pPr>
    </w:p>
    <w:tbl>
      <w:tblPr>
        <w:tblW w:w="538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105"/>
      </w:tblGrid>
      <w:tr w:rsidR="00693E5C" w:rsidRPr="00693E5C" w:rsidTr="002120A9">
        <w:trPr>
          <w:tblHeader/>
        </w:trPr>
        <w:tc>
          <w:tcPr>
            <w:tcW w:w="2464" w:type="pct"/>
            <w:vAlign w:val="center"/>
          </w:tcPr>
          <w:p w:rsidR="00693E5C" w:rsidRPr="00693E5C" w:rsidRDefault="00693E5C" w:rsidP="00693E5C">
            <w:pPr>
              <w:ind w:firstLine="744"/>
              <w:jc w:val="both"/>
              <w:rPr>
                <w:rFonts w:eastAsia="Calibri"/>
                <w:b/>
                <w:kern w:val="2"/>
                <w:sz w:val="28"/>
                <w:szCs w:val="28"/>
                <w:lang w:eastAsia="en-US"/>
                <w14:ligatures w14:val="standardContextual"/>
              </w:rPr>
            </w:pPr>
            <w:r w:rsidRPr="00693E5C">
              <w:rPr>
                <w:rFonts w:eastAsia="Calibri"/>
                <w:b/>
                <w:kern w:val="2"/>
                <w:sz w:val="28"/>
                <w:szCs w:val="28"/>
                <w:lang w:eastAsia="en-US"/>
                <w14:ligatures w14:val="standardContextual"/>
              </w:rPr>
              <w:t>Действующая редакция</w:t>
            </w:r>
          </w:p>
        </w:tc>
        <w:tc>
          <w:tcPr>
            <w:tcW w:w="2536" w:type="pct"/>
            <w:vAlign w:val="center"/>
          </w:tcPr>
          <w:p w:rsidR="00693E5C" w:rsidRPr="00693E5C" w:rsidRDefault="00693E5C" w:rsidP="00693E5C">
            <w:pPr>
              <w:ind w:firstLine="742"/>
              <w:jc w:val="both"/>
              <w:rPr>
                <w:rFonts w:eastAsia="Calibri"/>
                <w:b/>
                <w:kern w:val="2"/>
                <w:sz w:val="28"/>
                <w:szCs w:val="28"/>
                <w:lang w:eastAsia="en-US"/>
                <w14:ligatures w14:val="standardContextual"/>
              </w:rPr>
            </w:pPr>
            <w:r w:rsidRPr="00693E5C">
              <w:rPr>
                <w:rFonts w:eastAsia="Calibri"/>
                <w:b/>
                <w:kern w:val="2"/>
                <w:sz w:val="28"/>
                <w:szCs w:val="28"/>
                <w:lang w:eastAsia="en-US"/>
                <w14:ligatures w14:val="standardContextual"/>
              </w:rPr>
              <w:t>Предлагаемая редакция</w:t>
            </w:r>
          </w:p>
        </w:tc>
      </w:tr>
      <w:tr w:rsidR="00693E5C" w:rsidRPr="00693E5C" w:rsidTr="002120A9">
        <w:tc>
          <w:tcPr>
            <w:tcW w:w="2464" w:type="pct"/>
          </w:tcPr>
          <w:p w:rsidR="00693E5C" w:rsidRPr="00693E5C" w:rsidRDefault="00693E5C" w:rsidP="00693E5C">
            <w:pPr>
              <w:jc w:val="both"/>
              <w:outlineLvl w:val="0"/>
              <w:rPr>
                <w:szCs w:val="28"/>
              </w:rPr>
            </w:pPr>
            <w:r w:rsidRPr="00693E5C">
              <w:rPr>
                <w:b/>
                <w:szCs w:val="28"/>
              </w:rPr>
              <w:t>Статья 10.</w:t>
            </w:r>
            <w:r w:rsidRPr="00693E5C">
              <w:rPr>
                <w:szCs w:val="28"/>
              </w:rPr>
              <w:t xml:space="preserve"> Порядок распоряжения приобретенным государством и муниципальными образованиями Приднестровской Молдавской Республики выморочным имуществом</w:t>
            </w:r>
          </w:p>
          <w:p w:rsidR="00693E5C" w:rsidRPr="00693E5C" w:rsidRDefault="00693E5C" w:rsidP="00693E5C">
            <w:pPr>
              <w:jc w:val="both"/>
              <w:outlineLvl w:val="0"/>
              <w:rPr>
                <w:szCs w:val="28"/>
              </w:rPr>
            </w:pPr>
          </w:p>
          <w:p w:rsidR="00693E5C" w:rsidRPr="00693E5C" w:rsidRDefault="00693E5C" w:rsidP="00693E5C">
            <w:pPr>
              <w:jc w:val="both"/>
              <w:outlineLvl w:val="0"/>
              <w:rPr>
                <w:szCs w:val="28"/>
              </w:rPr>
            </w:pPr>
            <w:r w:rsidRPr="00693E5C">
              <w:rPr>
                <w:szCs w:val="28"/>
              </w:rPr>
              <w:t>1. Распоряжение (кроме отчуждения) приобретенным государством, муниципальными образованиями Приднестровской Молдавской Республики выморочным имуществом осуществляется в следующем порядке:</w:t>
            </w:r>
          </w:p>
          <w:p w:rsidR="00693E5C" w:rsidRPr="00693E5C" w:rsidRDefault="00693E5C" w:rsidP="00693E5C">
            <w:pPr>
              <w:jc w:val="both"/>
              <w:outlineLvl w:val="0"/>
              <w:rPr>
                <w:szCs w:val="28"/>
              </w:rPr>
            </w:pPr>
            <w:r w:rsidRPr="00693E5C">
              <w:rPr>
                <w:szCs w:val="28"/>
              </w:rPr>
              <w:t xml:space="preserve">а) жилые единицы (доли в жилых </w:t>
            </w:r>
            <w:r w:rsidRPr="00693E5C">
              <w:rPr>
                <w:szCs w:val="28"/>
              </w:rPr>
              <w:br/>
              <w:t>единицах), а также нежилые строения, помещения, сооружения, иные объекты недвижимого имущества, принадлежавшие наследодателю, поступают в оперативное управление государственных администраций городов (городов и районов);</w:t>
            </w:r>
          </w:p>
          <w:p w:rsidR="00693E5C" w:rsidRPr="00693E5C" w:rsidRDefault="00693E5C" w:rsidP="00693E5C">
            <w:pPr>
              <w:jc w:val="both"/>
              <w:outlineLvl w:val="0"/>
              <w:rPr>
                <w:szCs w:val="28"/>
              </w:rPr>
            </w:pPr>
          </w:p>
          <w:p w:rsidR="00693E5C" w:rsidRPr="00693E5C" w:rsidRDefault="00693E5C" w:rsidP="00693E5C">
            <w:pPr>
              <w:jc w:val="both"/>
              <w:outlineLvl w:val="0"/>
              <w:rPr>
                <w:szCs w:val="28"/>
              </w:rPr>
            </w:pPr>
          </w:p>
          <w:p w:rsidR="00693E5C" w:rsidRPr="00693E5C" w:rsidRDefault="00693E5C" w:rsidP="00693E5C">
            <w:pPr>
              <w:jc w:val="both"/>
              <w:outlineLvl w:val="0"/>
              <w:rPr>
                <w:szCs w:val="28"/>
              </w:rPr>
            </w:pPr>
          </w:p>
          <w:p w:rsidR="00693E5C" w:rsidRPr="00693E5C" w:rsidRDefault="00693E5C" w:rsidP="00693E5C">
            <w:pPr>
              <w:jc w:val="both"/>
              <w:outlineLvl w:val="0"/>
              <w:rPr>
                <w:szCs w:val="28"/>
              </w:rPr>
            </w:pPr>
          </w:p>
          <w:p w:rsidR="00693E5C" w:rsidRPr="00693E5C" w:rsidRDefault="00693E5C" w:rsidP="00693E5C">
            <w:pPr>
              <w:jc w:val="both"/>
              <w:outlineLvl w:val="0"/>
              <w:rPr>
                <w:szCs w:val="28"/>
              </w:rPr>
            </w:pPr>
          </w:p>
          <w:p w:rsidR="00693E5C" w:rsidRPr="00693E5C" w:rsidRDefault="00693E5C" w:rsidP="00693E5C">
            <w:pPr>
              <w:jc w:val="both"/>
              <w:outlineLvl w:val="0"/>
              <w:rPr>
                <w:szCs w:val="28"/>
              </w:rPr>
            </w:pPr>
          </w:p>
          <w:p w:rsidR="00693E5C" w:rsidRPr="00693E5C" w:rsidRDefault="00693E5C" w:rsidP="00693E5C">
            <w:pPr>
              <w:jc w:val="both"/>
              <w:outlineLvl w:val="0"/>
              <w:rPr>
                <w:szCs w:val="28"/>
              </w:rPr>
            </w:pPr>
          </w:p>
          <w:p w:rsidR="00693E5C" w:rsidRPr="00693E5C" w:rsidRDefault="00693E5C" w:rsidP="00693E5C">
            <w:pPr>
              <w:jc w:val="both"/>
              <w:outlineLvl w:val="0"/>
              <w:rPr>
                <w:szCs w:val="28"/>
              </w:rPr>
            </w:pPr>
          </w:p>
          <w:p w:rsidR="00693E5C" w:rsidRPr="00693E5C" w:rsidRDefault="00693E5C" w:rsidP="00693E5C">
            <w:pPr>
              <w:jc w:val="both"/>
              <w:outlineLvl w:val="0"/>
              <w:rPr>
                <w:szCs w:val="28"/>
              </w:rPr>
            </w:pPr>
          </w:p>
          <w:p w:rsidR="00693E5C" w:rsidRPr="00693E5C" w:rsidRDefault="00693E5C" w:rsidP="00693E5C">
            <w:pPr>
              <w:jc w:val="both"/>
              <w:outlineLvl w:val="0"/>
              <w:rPr>
                <w:szCs w:val="28"/>
              </w:rPr>
            </w:pPr>
          </w:p>
          <w:p w:rsidR="00693E5C" w:rsidRPr="00693E5C" w:rsidRDefault="00693E5C" w:rsidP="00693E5C">
            <w:pPr>
              <w:jc w:val="both"/>
              <w:outlineLvl w:val="0"/>
              <w:rPr>
                <w:szCs w:val="28"/>
              </w:rPr>
            </w:pPr>
          </w:p>
          <w:p w:rsidR="00693E5C" w:rsidRPr="00693E5C" w:rsidRDefault="00693E5C" w:rsidP="00693E5C">
            <w:pPr>
              <w:jc w:val="both"/>
              <w:outlineLvl w:val="0"/>
              <w:rPr>
                <w:szCs w:val="28"/>
              </w:rPr>
            </w:pPr>
          </w:p>
          <w:p w:rsidR="00693E5C" w:rsidRPr="00693E5C" w:rsidRDefault="00693E5C" w:rsidP="00693E5C">
            <w:pPr>
              <w:jc w:val="both"/>
              <w:outlineLvl w:val="0"/>
              <w:rPr>
                <w:szCs w:val="28"/>
              </w:rPr>
            </w:pPr>
          </w:p>
          <w:p w:rsidR="00693E5C" w:rsidRPr="00693E5C" w:rsidRDefault="00693E5C" w:rsidP="00693E5C">
            <w:pPr>
              <w:jc w:val="both"/>
              <w:outlineLvl w:val="0"/>
              <w:rPr>
                <w:szCs w:val="28"/>
              </w:rPr>
            </w:pPr>
          </w:p>
          <w:p w:rsidR="00693E5C" w:rsidRPr="00693E5C" w:rsidRDefault="00693E5C" w:rsidP="00693E5C">
            <w:pPr>
              <w:jc w:val="both"/>
              <w:outlineLvl w:val="0"/>
              <w:rPr>
                <w:szCs w:val="28"/>
              </w:rPr>
            </w:pPr>
          </w:p>
          <w:p w:rsidR="00693E5C" w:rsidRPr="00693E5C" w:rsidRDefault="00693E5C" w:rsidP="00693E5C">
            <w:pPr>
              <w:jc w:val="both"/>
              <w:outlineLvl w:val="0"/>
              <w:rPr>
                <w:szCs w:val="28"/>
              </w:rPr>
            </w:pPr>
          </w:p>
          <w:p w:rsidR="00693E5C" w:rsidRPr="00693E5C" w:rsidRDefault="00693E5C" w:rsidP="00693E5C">
            <w:pPr>
              <w:jc w:val="both"/>
              <w:outlineLvl w:val="0"/>
              <w:rPr>
                <w:szCs w:val="28"/>
              </w:rPr>
            </w:pPr>
          </w:p>
          <w:p w:rsidR="00693E5C" w:rsidRPr="00693E5C" w:rsidRDefault="00693E5C" w:rsidP="00693E5C">
            <w:pPr>
              <w:jc w:val="both"/>
              <w:outlineLvl w:val="0"/>
              <w:rPr>
                <w:szCs w:val="28"/>
              </w:rPr>
            </w:pPr>
          </w:p>
        </w:tc>
        <w:tc>
          <w:tcPr>
            <w:tcW w:w="2536" w:type="pct"/>
          </w:tcPr>
          <w:p w:rsidR="00693E5C" w:rsidRPr="00693E5C" w:rsidRDefault="00693E5C" w:rsidP="00693E5C">
            <w:pPr>
              <w:autoSpaceDE w:val="0"/>
              <w:autoSpaceDN w:val="0"/>
              <w:adjustRightInd w:val="0"/>
              <w:ind w:firstLine="708"/>
              <w:jc w:val="both"/>
              <w:rPr>
                <w:szCs w:val="28"/>
              </w:rPr>
            </w:pPr>
            <w:r w:rsidRPr="00693E5C">
              <w:rPr>
                <w:b/>
                <w:szCs w:val="28"/>
              </w:rPr>
              <w:t xml:space="preserve">Статья 10. </w:t>
            </w:r>
            <w:r w:rsidRPr="00693E5C">
              <w:rPr>
                <w:szCs w:val="28"/>
              </w:rPr>
              <w:t>Порядок распоряжения приобретенным государством и муниципальными образованиями Приднестровской Молдавской Республики выморочным имуществом</w:t>
            </w:r>
          </w:p>
          <w:p w:rsidR="00693E5C" w:rsidRPr="00693E5C" w:rsidRDefault="00693E5C" w:rsidP="00693E5C">
            <w:pPr>
              <w:autoSpaceDE w:val="0"/>
              <w:autoSpaceDN w:val="0"/>
              <w:adjustRightInd w:val="0"/>
              <w:ind w:firstLine="708"/>
              <w:jc w:val="both"/>
              <w:rPr>
                <w:szCs w:val="28"/>
              </w:rPr>
            </w:pPr>
          </w:p>
          <w:p w:rsidR="00693E5C" w:rsidRPr="00693E5C" w:rsidRDefault="00693E5C" w:rsidP="00693E5C">
            <w:pPr>
              <w:autoSpaceDE w:val="0"/>
              <w:autoSpaceDN w:val="0"/>
              <w:adjustRightInd w:val="0"/>
              <w:ind w:firstLine="708"/>
              <w:jc w:val="both"/>
              <w:rPr>
                <w:szCs w:val="28"/>
              </w:rPr>
            </w:pPr>
            <w:r w:rsidRPr="00693E5C">
              <w:rPr>
                <w:szCs w:val="28"/>
              </w:rPr>
              <w:t>1. Распоряжение (кроме отчуждения) приобретенным государством, муниципальными образованиями Приднестровской Молдавской Республики выморочным имуществом осуществляется в следующем порядке:</w:t>
            </w:r>
          </w:p>
          <w:p w:rsidR="00693E5C" w:rsidRPr="00693E5C" w:rsidRDefault="00693E5C" w:rsidP="00693E5C">
            <w:pPr>
              <w:autoSpaceDE w:val="0"/>
              <w:autoSpaceDN w:val="0"/>
              <w:adjustRightInd w:val="0"/>
              <w:ind w:firstLine="708"/>
              <w:jc w:val="both"/>
              <w:rPr>
                <w:szCs w:val="28"/>
              </w:rPr>
            </w:pPr>
            <w:r w:rsidRPr="00693E5C">
              <w:rPr>
                <w:szCs w:val="28"/>
              </w:rPr>
              <w:t>а) жилые единицы (доли в жилых единицах), а также нежилые строения, помещения, сооружения, иные объекты недвижимого имущества, принадлежавшие наследодателю, поступают в оперативное управление государственных администраций городов (городов и районов).</w:t>
            </w:r>
          </w:p>
          <w:p w:rsidR="00693E5C" w:rsidRPr="00693E5C" w:rsidRDefault="00693E5C" w:rsidP="00693E5C">
            <w:pPr>
              <w:ind w:firstLine="847"/>
              <w:jc w:val="both"/>
              <w:rPr>
                <w:b/>
                <w:szCs w:val="28"/>
                <w:lang w:eastAsia="x-none"/>
              </w:rPr>
            </w:pPr>
            <w:r w:rsidRPr="00693E5C">
              <w:rPr>
                <w:b/>
                <w:szCs w:val="28"/>
                <w:lang w:eastAsia="x-none"/>
              </w:rPr>
              <w:t>Часть выморочного имущества в виде жилых единиц (долей в жилых единицах) в размере до 50 процентов от количества, переходящего</w:t>
            </w:r>
            <w:r w:rsidRPr="00693E5C">
              <w:rPr>
                <w:rFonts w:asciiTheme="minorHAnsi" w:eastAsiaTheme="minorHAnsi" w:hAnsiTheme="minorHAnsi" w:cstheme="minorBidi"/>
                <w:sz w:val="22"/>
                <w:szCs w:val="22"/>
                <w:lang w:eastAsia="en-US"/>
              </w:rPr>
              <w:t xml:space="preserve"> </w:t>
            </w:r>
            <w:r w:rsidRPr="00693E5C">
              <w:rPr>
                <w:b/>
                <w:szCs w:val="28"/>
                <w:lang w:eastAsia="x-none"/>
              </w:rPr>
              <w:t>в течение финансового года в порядке наследования по закону в собственность муниципального образования Приднестровской Молдавской Республики, может передаваться в ведение соответствующей государственной администрации города (города и района) для включения в число служебных, которое предоставляется для заселения гражданам, проходящим государственную гражданскую службу или состоящим в трудовых отношениях с государственной администрацией города (города и района) или подведомственными ей организациями;</w:t>
            </w:r>
          </w:p>
          <w:p w:rsidR="00693E5C" w:rsidRPr="00693E5C" w:rsidRDefault="00693E5C" w:rsidP="00693E5C">
            <w:pPr>
              <w:jc w:val="both"/>
              <w:rPr>
                <w:szCs w:val="28"/>
                <w:lang w:eastAsia="x-none"/>
              </w:rPr>
            </w:pPr>
          </w:p>
        </w:tc>
      </w:tr>
    </w:tbl>
    <w:p w:rsidR="003D28E8" w:rsidRPr="0037677A" w:rsidRDefault="003D28E8" w:rsidP="0037677A">
      <w:bookmarkStart w:id="0" w:name="_GoBack"/>
      <w:bookmarkEnd w:id="0"/>
    </w:p>
    <w:sectPr w:rsidR="003D28E8" w:rsidRPr="0037677A" w:rsidSect="006E3E34">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4"/>
  </w:num>
  <w:num w:numId="5">
    <w:abstractNumId w:val="3"/>
  </w:num>
  <w:num w:numId="6">
    <w:abstractNumId w:val="0"/>
  </w:num>
  <w:num w:numId="7">
    <w:abstractNumId w:val="8"/>
  </w:num>
  <w:num w:numId="8">
    <w:abstractNumId w:val="7"/>
  </w:num>
  <w:num w:numId="9">
    <w:abstractNumId w:val="6"/>
  </w:num>
  <w:num w:numId="10">
    <w:abstractNumId w:val="13"/>
  </w:num>
  <w:num w:numId="11">
    <w:abstractNumId w:val="5"/>
  </w:num>
  <w:num w:numId="12">
    <w:abstractNumId w:val="2"/>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8FE"/>
    <w:rsid w:val="00405F86"/>
    <w:rsid w:val="00415509"/>
    <w:rsid w:val="004171F5"/>
    <w:rsid w:val="004206DF"/>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42"/>
    <w:rsid w:val="00644929"/>
    <w:rsid w:val="00650272"/>
    <w:rsid w:val="00657950"/>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43D2E"/>
    <w:rsid w:val="00B442AF"/>
    <w:rsid w:val="00B51471"/>
    <w:rsid w:val="00B55934"/>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71D6"/>
    <w:rsid w:val="00CD1055"/>
    <w:rsid w:val="00CD5D6A"/>
    <w:rsid w:val="00CE1EBC"/>
    <w:rsid w:val="00CE29D2"/>
    <w:rsid w:val="00CE40FD"/>
    <w:rsid w:val="00CE7407"/>
    <w:rsid w:val="00CF17CC"/>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A4"/>
    <w:rsid w:val="00DD0896"/>
    <w:rsid w:val="00DF01E0"/>
    <w:rsid w:val="00DF0A7D"/>
    <w:rsid w:val="00DF247F"/>
    <w:rsid w:val="00DF36D8"/>
    <w:rsid w:val="00DF3ECA"/>
    <w:rsid w:val="00DF3F74"/>
    <w:rsid w:val="00DF4ABC"/>
    <w:rsid w:val="00E03463"/>
    <w:rsid w:val="00E0616F"/>
    <w:rsid w:val="00E15344"/>
    <w:rsid w:val="00E23872"/>
    <w:rsid w:val="00E31812"/>
    <w:rsid w:val="00E31DA0"/>
    <w:rsid w:val="00E41D7B"/>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EF47C6"/>
    <w:rsid w:val="00F0432D"/>
    <w:rsid w:val="00F046E6"/>
    <w:rsid w:val="00F04882"/>
    <w:rsid w:val="00F105A3"/>
    <w:rsid w:val="00F130F6"/>
    <w:rsid w:val="00F217F1"/>
    <w:rsid w:val="00F24107"/>
    <w:rsid w:val="00F3024A"/>
    <w:rsid w:val="00F30AE3"/>
    <w:rsid w:val="00F45329"/>
    <w:rsid w:val="00F50291"/>
    <w:rsid w:val="00F57555"/>
    <w:rsid w:val="00F6504D"/>
    <w:rsid w:val="00F669A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99"/>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399AB-8CFC-4AA5-8638-3498A679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320</Words>
  <Characters>1826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53</cp:revision>
  <cp:lastPrinted>2026-01-30T06:58:00Z</cp:lastPrinted>
  <dcterms:created xsi:type="dcterms:W3CDTF">2026-02-09T12:39:00Z</dcterms:created>
  <dcterms:modified xsi:type="dcterms:W3CDTF">2026-02-20T13:37:00Z</dcterms:modified>
</cp:coreProperties>
</file>