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CD" w:rsidRPr="00CD3ECD" w:rsidRDefault="00CD3ECD" w:rsidP="00CD3ECD">
      <w:pPr>
        <w:jc w:val="center"/>
        <w:rPr>
          <w:rFonts w:eastAsiaTheme="minorHAnsi"/>
          <w:b/>
          <w:sz w:val="28"/>
          <w:szCs w:val="28"/>
          <w:lang w:eastAsia="en-US"/>
        </w:rPr>
      </w:pPr>
      <w:r w:rsidRPr="00CD3ECD">
        <w:rPr>
          <w:rFonts w:eastAsiaTheme="minorHAnsi"/>
          <w:b/>
          <w:sz w:val="28"/>
          <w:szCs w:val="28"/>
          <w:lang w:eastAsia="en-US"/>
        </w:rPr>
        <w:t>Сравнительная таблица</w:t>
      </w:r>
    </w:p>
    <w:p w:rsidR="00CD3ECD" w:rsidRPr="00CD3ECD" w:rsidRDefault="00CD3ECD" w:rsidP="00CD3ECD">
      <w:pPr>
        <w:jc w:val="center"/>
        <w:rPr>
          <w:rFonts w:eastAsiaTheme="minorHAnsi"/>
          <w:b/>
          <w:sz w:val="28"/>
          <w:szCs w:val="28"/>
          <w:lang w:eastAsia="en-US"/>
        </w:rPr>
      </w:pPr>
      <w:r w:rsidRPr="00CD3ECD">
        <w:rPr>
          <w:rFonts w:eastAsiaTheme="minorHAnsi"/>
          <w:b/>
          <w:sz w:val="28"/>
          <w:szCs w:val="28"/>
          <w:lang w:eastAsia="en-US"/>
        </w:rPr>
        <w:t xml:space="preserve">к проекту закона Приднестровской Молдавской Республики                             </w:t>
      </w:r>
      <w:proofErr w:type="gramStart"/>
      <w:r w:rsidRPr="00CD3ECD">
        <w:rPr>
          <w:rFonts w:eastAsiaTheme="minorHAnsi"/>
          <w:b/>
          <w:sz w:val="28"/>
          <w:szCs w:val="28"/>
          <w:lang w:eastAsia="en-US"/>
        </w:rPr>
        <w:t xml:space="preserve">   «</w:t>
      </w:r>
      <w:proofErr w:type="gramEnd"/>
      <w:r w:rsidRPr="00CD3ECD">
        <w:rPr>
          <w:rFonts w:eastAsiaTheme="minorHAnsi"/>
          <w:b/>
          <w:sz w:val="28"/>
          <w:szCs w:val="28"/>
          <w:lang w:eastAsia="en-US"/>
        </w:rPr>
        <w:t>О внесении изменения в Закон Приднестровской Молдавской Республики  «О налоге на доходы организаций»</w:t>
      </w:r>
    </w:p>
    <w:p w:rsidR="00CD3ECD" w:rsidRPr="00CD3ECD" w:rsidRDefault="00CD3ECD" w:rsidP="00CD3ECD">
      <w:pPr>
        <w:jc w:val="center"/>
        <w:rPr>
          <w:rFonts w:eastAsiaTheme="minorHAnsi"/>
          <w:b/>
          <w:sz w:val="28"/>
          <w:szCs w:val="28"/>
          <w:lang w:eastAsia="en-US"/>
        </w:rPr>
      </w:pPr>
    </w:p>
    <w:tbl>
      <w:tblPr>
        <w:tblStyle w:val="ad"/>
        <w:tblW w:w="0" w:type="auto"/>
        <w:tblLook w:val="04A0" w:firstRow="1" w:lastRow="0" w:firstColumn="1" w:lastColumn="0" w:noHBand="0" w:noVBand="1"/>
      </w:tblPr>
      <w:tblGrid>
        <w:gridCol w:w="4672"/>
        <w:gridCol w:w="4673"/>
      </w:tblGrid>
      <w:tr w:rsidR="00CD3ECD" w:rsidRPr="00CD3ECD" w:rsidTr="002120A9">
        <w:tc>
          <w:tcPr>
            <w:tcW w:w="4672" w:type="dxa"/>
          </w:tcPr>
          <w:p w:rsidR="00CD3ECD" w:rsidRPr="00CD3ECD" w:rsidRDefault="00CD3ECD" w:rsidP="00CD3ECD">
            <w:pPr>
              <w:jc w:val="center"/>
              <w:rPr>
                <w:rFonts w:eastAsiaTheme="minorHAnsi"/>
                <w:sz w:val="28"/>
                <w:szCs w:val="28"/>
                <w:lang w:eastAsia="en-US"/>
              </w:rPr>
            </w:pPr>
            <w:r w:rsidRPr="00CD3ECD">
              <w:rPr>
                <w:rFonts w:eastAsiaTheme="minorHAnsi"/>
                <w:sz w:val="28"/>
                <w:szCs w:val="28"/>
                <w:lang w:eastAsia="en-US"/>
              </w:rPr>
              <w:t>Действующая редакция</w:t>
            </w:r>
          </w:p>
        </w:tc>
        <w:tc>
          <w:tcPr>
            <w:tcW w:w="4673" w:type="dxa"/>
          </w:tcPr>
          <w:p w:rsidR="00CD3ECD" w:rsidRPr="00CD3ECD" w:rsidRDefault="00CD3ECD" w:rsidP="00CD3ECD">
            <w:pPr>
              <w:jc w:val="center"/>
              <w:rPr>
                <w:rFonts w:eastAsiaTheme="minorHAnsi"/>
                <w:sz w:val="28"/>
                <w:szCs w:val="28"/>
                <w:lang w:eastAsia="en-US"/>
              </w:rPr>
            </w:pPr>
            <w:r w:rsidRPr="00CD3ECD">
              <w:rPr>
                <w:rFonts w:eastAsiaTheme="minorHAnsi"/>
                <w:sz w:val="28"/>
                <w:szCs w:val="28"/>
                <w:lang w:eastAsia="en-US"/>
              </w:rPr>
              <w:t>Предлагаемая редакция</w:t>
            </w:r>
          </w:p>
        </w:tc>
      </w:tr>
      <w:tr w:rsidR="00CD3ECD" w:rsidRPr="00CD3ECD" w:rsidTr="002120A9">
        <w:tc>
          <w:tcPr>
            <w:tcW w:w="4672" w:type="dxa"/>
          </w:tcPr>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 xml:space="preserve">Статья 6 </w:t>
            </w:r>
            <w:r w:rsidRPr="00CD3ECD">
              <w:rPr>
                <w:rFonts w:eastAsiaTheme="minorHAnsi"/>
                <w:sz w:val="28"/>
                <w:szCs w:val="28"/>
                <w:lang w:eastAsia="en-US"/>
              </w:rPr>
              <w:t>Освобождение от налога</w:t>
            </w:r>
          </w:p>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w:t>
            </w:r>
          </w:p>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 xml:space="preserve">«15. Юридические лица освобождаются от уплаты налога на доходы организаций в отношении выручки от реализации электросетевой организации избытка электрической энергии, произведенной для собственных нужд генерирующим оборудованием (установкой) установленной генерирующей мощностью </w:t>
            </w:r>
            <w:r w:rsidRPr="00CD3ECD">
              <w:rPr>
                <w:rFonts w:eastAsiaTheme="minorHAnsi"/>
                <w:b/>
                <w:color w:val="000000"/>
                <w:sz w:val="28"/>
                <w:szCs w:val="28"/>
                <w:lang w:eastAsia="en-US"/>
              </w:rPr>
              <w:t>до 20 (двадцати) киловатт-часов</w:t>
            </w:r>
            <w:r w:rsidRPr="00CD3ECD">
              <w:rPr>
                <w:rFonts w:eastAsiaTheme="minorHAnsi"/>
                <w:color w:val="000000"/>
                <w:sz w:val="28"/>
                <w:szCs w:val="28"/>
                <w:lang w:eastAsia="en-US"/>
              </w:rPr>
              <w:t xml:space="preserve">, производящим электрическую энергию как из возобновляемых, так и </w:t>
            </w:r>
            <w:proofErr w:type="spellStart"/>
            <w:r w:rsidRPr="00CD3ECD">
              <w:rPr>
                <w:rFonts w:eastAsiaTheme="minorHAnsi"/>
                <w:color w:val="000000"/>
                <w:sz w:val="28"/>
                <w:szCs w:val="28"/>
                <w:lang w:eastAsia="en-US"/>
              </w:rPr>
              <w:t>невозобновляемых</w:t>
            </w:r>
            <w:proofErr w:type="spellEnd"/>
            <w:r w:rsidRPr="00CD3ECD">
              <w:rPr>
                <w:rFonts w:eastAsiaTheme="minorHAnsi"/>
                <w:color w:val="000000"/>
                <w:sz w:val="28"/>
                <w:szCs w:val="28"/>
                <w:lang w:eastAsia="en-US"/>
              </w:rPr>
              <w:t xml:space="preserve"> источников энергии, принадлежащим организации на праве собственности либо другом законном основании.</w:t>
            </w:r>
          </w:p>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Часть первая настоящего пункта применяется в случае проведения перерасчета с электросетевой организацией на сумму избытка электроэнергии, отпущенного электросетевой организации при обеспечении технической возможности и учета приема-отдачи электроэнергии с учетом общего потребления по всем местам потребления лица (потребителя) с соблюдением порядка перерасчета и технических требований к приборам учета, установленным исполнительным органом государственной власти, в ведении которого находятся вопросы энергетики».</w:t>
            </w:r>
          </w:p>
        </w:tc>
        <w:tc>
          <w:tcPr>
            <w:tcW w:w="4673" w:type="dxa"/>
          </w:tcPr>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 xml:space="preserve">Статья 6 </w:t>
            </w:r>
            <w:r w:rsidRPr="00CD3ECD">
              <w:rPr>
                <w:rFonts w:eastAsiaTheme="minorHAnsi"/>
                <w:sz w:val="28"/>
                <w:szCs w:val="28"/>
                <w:lang w:eastAsia="en-US"/>
              </w:rPr>
              <w:t>Освобождение от налога</w:t>
            </w:r>
          </w:p>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w:t>
            </w:r>
          </w:p>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 xml:space="preserve">«15. Юридические лица освобождаются от уплаты налога на доходы организаций в отношении выручки от реализации электросетевой организации избытка электрической энергии, произведенной для собственных нужд генерирующим оборудованием (установкой) установленной генерирующей мощностью </w:t>
            </w:r>
            <w:r w:rsidRPr="00CD3ECD">
              <w:rPr>
                <w:rFonts w:eastAsiaTheme="minorHAnsi"/>
                <w:b/>
                <w:color w:val="000000"/>
                <w:sz w:val="28"/>
                <w:szCs w:val="28"/>
                <w:lang w:eastAsia="en-US"/>
              </w:rPr>
              <w:t>до 20 (двадцати) киловатт</w:t>
            </w:r>
            <w:r w:rsidRPr="00CD3ECD">
              <w:rPr>
                <w:rFonts w:eastAsiaTheme="minorHAnsi"/>
                <w:color w:val="000000"/>
                <w:sz w:val="28"/>
                <w:szCs w:val="28"/>
                <w:lang w:eastAsia="en-US"/>
              </w:rPr>
              <w:t xml:space="preserve">, производящим электрическую энергию как из возобновляемых, так и </w:t>
            </w:r>
            <w:proofErr w:type="spellStart"/>
            <w:r w:rsidRPr="00CD3ECD">
              <w:rPr>
                <w:rFonts w:eastAsiaTheme="minorHAnsi"/>
                <w:color w:val="000000"/>
                <w:sz w:val="28"/>
                <w:szCs w:val="28"/>
                <w:lang w:eastAsia="en-US"/>
              </w:rPr>
              <w:t>невозобновляемых</w:t>
            </w:r>
            <w:proofErr w:type="spellEnd"/>
            <w:r w:rsidRPr="00CD3ECD">
              <w:rPr>
                <w:rFonts w:eastAsiaTheme="minorHAnsi"/>
                <w:color w:val="000000"/>
                <w:sz w:val="28"/>
                <w:szCs w:val="28"/>
                <w:lang w:eastAsia="en-US"/>
              </w:rPr>
              <w:t xml:space="preserve"> источников энергии, принадлежащим организации на праве собственности либо другом законном основании.</w:t>
            </w:r>
          </w:p>
          <w:p w:rsidR="00CD3ECD" w:rsidRPr="00CD3ECD" w:rsidRDefault="00CD3ECD" w:rsidP="00CD3ECD">
            <w:pPr>
              <w:ind w:firstLine="709"/>
              <w:jc w:val="both"/>
              <w:rPr>
                <w:rFonts w:eastAsiaTheme="minorHAnsi"/>
                <w:color w:val="000000"/>
                <w:sz w:val="28"/>
                <w:szCs w:val="28"/>
                <w:lang w:eastAsia="en-US"/>
              </w:rPr>
            </w:pPr>
            <w:r w:rsidRPr="00CD3ECD">
              <w:rPr>
                <w:rFonts w:eastAsiaTheme="minorHAnsi"/>
                <w:color w:val="000000"/>
                <w:sz w:val="28"/>
                <w:szCs w:val="28"/>
                <w:lang w:eastAsia="en-US"/>
              </w:rPr>
              <w:t>Часть первая настоящего пункта применяется в случае проведения перерасчета с электросетевой организацией на сумму избытка электроэнергии, отпущенного электросетевой организации при обеспечении технической возможности и учета приема-отдачи электроэнергии с учетом общего потребления по всем местам потребления лица (потребителя) с соблюдением порядка перерасчета и технических требований к приборам учета, установленным исполнительным органом государственной власти, в ведении которого находятся вопросы энергетики».</w:t>
            </w:r>
          </w:p>
        </w:tc>
      </w:tr>
    </w:tbl>
    <w:p w:rsidR="003D28E8" w:rsidRPr="00CC6D65" w:rsidRDefault="003D28E8" w:rsidP="00CC6D65">
      <w:bookmarkStart w:id="0" w:name="_GoBack"/>
      <w:bookmarkEnd w:id="0"/>
    </w:p>
    <w:sectPr w:rsidR="003D28E8" w:rsidRPr="00CC6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5187"/>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7EBB-373C-4BD6-8474-600D376B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55</cp:revision>
  <cp:lastPrinted>2026-01-30T06:58:00Z</cp:lastPrinted>
  <dcterms:created xsi:type="dcterms:W3CDTF">2026-02-09T12:39:00Z</dcterms:created>
  <dcterms:modified xsi:type="dcterms:W3CDTF">2026-02-20T14:04:00Z</dcterms:modified>
</cp:coreProperties>
</file>