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44" w:rsidRPr="003776F3" w:rsidRDefault="00BC2644" w:rsidP="00BC2644">
      <w:pPr>
        <w:jc w:val="center"/>
        <w:rPr>
          <w:b/>
        </w:rPr>
      </w:pPr>
      <w:r w:rsidRPr="003776F3">
        <w:rPr>
          <w:b/>
        </w:rPr>
        <w:t>СРАВНИТЕЛЬНАЯ ТАБЛИЦА</w:t>
      </w:r>
    </w:p>
    <w:p w:rsidR="00BC2644" w:rsidRDefault="00BC2644" w:rsidP="00BC2644">
      <w:pPr>
        <w:pStyle w:val="a8"/>
        <w:jc w:val="center"/>
        <w:rPr>
          <w:color w:val="000000"/>
        </w:rPr>
      </w:pPr>
      <w:r w:rsidRPr="00A001FE">
        <w:rPr>
          <w:color w:val="000000"/>
        </w:rPr>
        <w:t xml:space="preserve">к проекту Закона Приднестровской Молдавской Республики </w:t>
      </w:r>
    </w:p>
    <w:p w:rsidR="00BC2644" w:rsidRPr="00A001FE" w:rsidRDefault="00BC2644" w:rsidP="00BC2644">
      <w:pPr>
        <w:pStyle w:val="a8"/>
        <w:jc w:val="center"/>
        <w:rPr>
          <w:rFonts w:eastAsia="Calibri"/>
          <w:lang w:eastAsia="en-US"/>
        </w:rPr>
      </w:pPr>
      <w:r>
        <w:rPr>
          <w:rFonts w:eastAsia="Calibri"/>
          <w:lang w:eastAsia="en-US"/>
        </w:rPr>
        <w:t xml:space="preserve">«О внесении изменений </w:t>
      </w:r>
      <w:r w:rsidRPr="00A001FE">
        <w:rPr>
          <w:rFonts w:eastAsia="Calibri"/>
          <w:lang w:eastAsia="en-US"/>
        </w:rPr>
        <w:t xml:space="preserve">в Закон </w:t>
      </w:r>
      <w:r w:rsidRPr="00A001FE">
        <w:rPr>
          <w:color w:val="000000"/>
        </w:rPr>
        <w:t>Приднестровской Молдавской Республики</w:t>
      </w:r>
      <w:r w:rsidRPr="00A001FE">
        <w:rPr>
          <w:rFonts w:eastAsia="Calibri"/>
          <w:lang w:eastAsia="en-US"/>
        </w:rPr>
        <w:t xml:space="preserve"> </w:t>
      </w:r>
    </w:p>
    <w:p w:rsidR="00BC2644" w:rsidRPr="00A001FE" w:rsidRDefault="00BC2644" w:rsidP="00BC2644">
      <w:pPr>
        <w:pStyle w:val="a8"/>
        <w:jc w:val="center"/>
        <w:rPr>
          <w:rFonts w:eastAsia="Calibri"/>
          <w:lang w:eastAsia="en-US"/>
        </w:rPr>
      </w:pPr>
      <w:r w:rsidRPr="00A001FE">
        <w:t>«О содержании под стражей подозреваемых и обвиняемых в совершении преступлений»</w:t>
      </w:r>
    </w:p>
    <w:p w:rsidR="00BC2644" w:rsidRPr="00165614" w:rsidRDefault="00BC2644" w:rsidP="00BC2644">
      <w:pPr>
        <w:jc w:val="center"/>
        <w:rPr>
          <w:rFonts w:eastAsia="Calibri"/>
          <w:lang w:eastAsia="en-US"/>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387"/>
      </w:tblGrid>
      <w:tr w:rsidR="00BC2644" w:rsidTr="00BC2644">
        <w:tc>
          <w:tcPr>
            <w:tcW w:w="5812" w:type="dxa"/>
          </w:tcPr>
          <w:p w:rsidR="00BC2644" w:rsidRDefault="00BC2644" w:rsidP="003F1E5C">
            <w:pPr>
              <w:jc w:val="both"/>
              <w:rPr>
                <w:b/>
              </w:rPr>
            </w:pPr>
          </w:p>
          <w:p w:rsidR="00BC2644" w:rsidRDefault="00BC2644" w:rsidP="003F1E5C">
            <w:pPr>
              <w:jc w:val="center"/>
              <w:rPr>
                <w:b/>
              </w:rPr>
            </w:pPr>
            <w:r w:rsidRPr="00E14778">
              <w:rPr>
                <w:b/>
              </w:rPr>
              <w:t>Действующая редакция</w:t>
            </w:r>
          </w:p>
          <w:p w:rsidR="00BC2644" w:rsidRPr="00E14778" w:rsidRDefault="00BC2644" w:rsidP="003F1E5C">
            <w:pPr>
              <w:jc w:val="center"/>
              <w:rPr>
                <w:b/>
              </w:rPr>
            </w:pPr>
          </w:p>
        </w:tc>
        <w:tc>
          <w:tcPr>
            <w:tcW w:w="5387" w:type="dxa"/>
          </w:tcPr>
          <w:p w:rsidR="00BC2644" w:rsidRDefault="00BC2644" w:rsidP="003F1E5C">
            <w:pPr>
              <w:jc w:val="both"/>
              <w:rPr>
                <w:b/>
              </w:rPr>
            </w:pPr>
          </w:p>
          <w:p w:rsidR="00BC2644" w:rsidRPr="00E14778" w:rsidRDefault="00BC2644" w:rsidP="003F1E5C">
            <w:pPr>
              <w:jc w:val="center"/>
              <w:rPr>
                <w:b/>
              </w:rPr>
            </w:pPr>
            <w:r w:rsidRPr="00E14778">
              <w:rPr>
                <w:b/>
              </w:rPr>
              <w:t>Предлагаемая редакция</w:t>
            </w:r>
          </w:p>
        </w:tc>
      </w:tr>
      <w:tr w:rsidR="00BC2644" w:rsidRPr="00943E3F" w:rsidTr="00BC2644">
        <w:tc>
          <w:tcPr>
            <w:tcW w:w="5812" w:type="dxa"/>
          </w:tcPr>
          <w:p w:rsidR="00BC2644" w:rsidRPr="00765602" w:rsidRDefault="00BC2644" w:rsidP="003F1E5C">
            <w:pPr>
              <w:ind w:firstLine="678"/>
              <w:jc w:val="both"/>
            </w:pPr>
            <w:r w:rsidRPr="00765602">
              <w:rPr>
                <w:rFonts w:eastAsia="Calibri"/>
                <w:b/>
                <w:lang w:eastAsia="en-US"/>
              </w:rPr>
              <w:t>Статья 7.</w:t>
            </w:r>
            <w:r w:rsidRPr="00765602">
              <w:rPr>
                <w:rFonts w:eastAsia="Calibri"/>
                <w:lang w:eastAsia="en-US"/>
              </w:rPr>
              <w:t xml:space="preserve"> </w:t>
            </w:r>
            <w:r w:rsidRPr="00765602">
              <w:t xml:space="preserve">Места содержания под стражей </w:t>
            </w:r>
          </w:p>
          <w:p w:rsidR="00BC2644" w:rsidRPr="00765602" w:rsidRDefault="00BC2644" w:rsidP="003F1E5C">
            <w:pPr>
              <w:ind w:firstLine="678"/>
              <w:jc w:val="both"/>
            </w:pPr>
            <w:r w:rsidRPr="00765602">
              <w:t>1. Местами содержания под стражей подозреваемых и обвиняемых являются:</w:t>
            </w:r>
          </w:p>
          <w:p w:rsidR="00BC2644" w:rsidRPr="00765602" w:rsidRDefault="00BC2644" w:rsidP="003F1E5C">
            <w:pPr>
              <w:ind w:firstLine="678"/>
              <w:jc w:val="both"/>
            </w:pPr>
            <w:r w:rsidRPr="00765602">
              <w:t>а) следственные изоляторы уголовно-исполнительной системы Министерства юстиции Приднестровской Молдавской Республики;</w:t>
            </w:r>
          </w:p>
          <w:p w:rsidR="00BC2644" w:rsidRPr="00765602" w:rsidRDefault="00BC2644" w:rsidP="003F1E5C">
            <w:pPr>
              <w:ind w:firstLine="678"/>
              <w:jc w:val="both"/>
            </w:pPr>
            <w:r w:rsidRPr="00765602">
              <w:t>б) изоляторы временного содержания подозреваемых и обвиняемых органов внутренних дел Приднестровской Молдавской Республики;</w:t>
            </w:r>
          </w:p>
          <w:p w:rsidR="00BC2644" w:rsidRPr="00765602" w:rsidRDefault="00BC2644" w:rsidP="003F1E5C">
            <w:pPr>
              <w:ind w:firstLine="678"/>
              <w:jc w:val="both"/>
              <w:rPr>
                <w:b/>
              </w:rPr>
            </w:pPr>
            <w:r w:rsidRPr="00765602">
              <w:rPr>
                <w:b/>
              </w:rPr>
              <w:t>в) следственные изоляторы органов государственной службы безопасности Приднестровской Молдавской Республики;</w:t>
            </w:r>
          </w:p>
          <w:p w:rsidR="00BC2644" w:rsidRPr="00765602" w:rsidRDefault="00BC2644" w:rsidP="003F1E5C">
            <w:pPr>
              <w:ind w:firstLine="678"/>
              <w:jc w:val="both"/>
            </w:pPr>
            <w:r w:rsidRPr="00765602">
              <w:t>г) специально оборудованные помещения судебных органов;</w:t>
            </w:r>
          </w:p>
          <w:p w:rsidR="00BC2644" w:rsidRPr="00765602" w:rsidRDefault="00BC2644" w:rsidP="003F1E5C">
            <w:pPr>
              <w:ind w:firstLine="678"/>
              <w:jc w:val="both"/>
            </w:pPr>
            <w:r w:rsidRPr="00765602">
              <w:rPr>
                <w:bCs/>
                <w:lang w:val="x-none"/>
              </w:rPr>
              <w:t>д) гауптвахты Вооруженных сил Приднестровской Молдавской Республики</w:t>
            </w:r>
            <w:r w:rsidRPr="00765602">
              <w:t>.</w:t>
            </w:r>
          </w:p>
          <w:p w:rsidR="00BC2644" w:rsidRPr="00765602" w:rsidRDefault="00BC2644" w:rsidP="003F1E5C">
            <w:pPr>
              <w:tabs>
                <w:tab w:val="left" w:pos="1068"/>
              </w:tabs>
            </w:pPr>
          </w:p>
          <w:p w:rsidR="00BC2644" w:rsidRPr="00250B9D" w:rsidRDefault="00BC2644" w:rsidP="003F1E5C">
            <w:pPr>
              <w:ind w:firstLine="460"/>
              <w:jc w:val="both"/>
            </w:pPr>
            <w:r w:rsidRPr="00765602">
              <w:rPr>
                <w:b/>
                <w:bCs/>
              </w:rPr>
              <w:t xml:space="preserve">Статья 40. </w:t>
            </w:r>
            <w:r w:rsidRPr="00765602">
              <w:t>Содержание в карцере</w:t>
            </w:r>
          </w:p>
          <w:p w:rsidR="00BC2644" w:rsidRPr="0094310B" w:rsidRDefault="00BC2644" w:rsidP="003F1E5C">
            <w:pPr>
              <w:ind w:firstLine="678"/>
              <w:jc w:val="both"/>
            </w:pPr>
            <w:r w:rsidRPr="00765602">
              <w:t xml:space="preserve">4. Содержание подозреваемых и обвиняемых в карцере одиночное. В карцере подозреваемые и обвиняемые обеспечиваются индивидуальным спальным местом и постельными принадлежностями только на время сна в установленные часы. В период содержания в карцере подозреваемым и обвиняемым запрещаются переписка, свидания, кроме свиданий с защитником, </w:t>
            </w:r>
            <w:r w:rsidRPr="00AE39E5">
              <w:t>а также приобретение продуктов питания и предметов первой необходимости,</w:t>
            </w:r>
            <w:r w:rsidRPr="00765602">
              <w:t xml:space="preserve"> получение посылок и передач, пользование настольными играми, </w:t>
            </w:r>
            <w:r w:rsidRPr="002D0DE7">
              <w:rPr>
                <w:b/>
              </w:rPr>
              <w:t>книгами, газетами, журналами и иной литературой,</w:t>
            </w:r>
            <w:r w:rsidRPr="00765602">
              <w:t xml:space="preserve"> просмотр телепередач, </w:t>
            </w:r>
            <w:r w:rsidRPr="00765602">
              <w:rPr>
                <w:b/>
              </w:rPr>
              <w:t>курение</w:t>
            </w:r>
            <w:r w:rsidRPr="00765602">
              <w:t>. Посылки и передачи вручаются подозреваемым и обвиняемым после окончания срока их пребывания в карцере. Подозреваемые и обвиняемые, содержащиеся в карцере, имеют право на ежедневную прогулку продолжи</w:t>
            </w:r>
            <w:r>
              <w:t xml:space="preserve">тельностью </w:t>
            </w:r>
            <w:r w:rsidRPr="0094310B">
              <w:t>30 (тридцать) минут.</w:t>
            </w:r>
          </w:p>
          <w:p w:rsidR="00BC2644" w:rsidRPr="0094310B" w:rsidRDefault="00BC2644" w:rsidP="003F1E5C">
            <w:pPr>
              <w:ind w:firstLine="678"/>
              <w:jc w:val="both"/>
            </w:pPr>
          </w:p>
          <w:p w:rsidR="00BC2644" w:rsidRPr="00250B9D" w:rsidRDefault="00BC2644" w:rsidP="003F1E5C">
            <w:pPr>
              <w:rPr>
                <w:b/>
                <w:bCs/>
              </w:rPr>
            </w:pPr>
          </w:p>
          <w:p w:rsidR="00BC2644" w:rsidRPr="00765602" w:rsidRDefault="00BC2644" w:rsidP="003F1E5C">
            <w:pPr>
              <w:tabs>
                <w:tab w:val="left" w:pos="1068"/>
              </w:tabs>
            </w:pPr>
          </w:p>
        </w:tc>
        <w:tc>
          <w:tcPr>
            <w:tcW w:w="5387" w:type="dxa"/>
          </w:tcPr>
          <w:p w:rsidR="00BC2644" w:rsidRPr="00765602" w:rsidRDefault="00BC2644" w:rsidP="003F1E5C">
            <w:pPr>
              <w:ind w:firstLine="678"/>
              <w:jc w:val="both"/>
            </w:pPr>
            <w:r w:rsidRPr="00765602">
              <w:rPr>
                <w:rFonts w:eastAsia="Calibri"/>
                <w:b/>
                <w:lang w:eastAsia="en-US"/>
              </w:rPr>
              <w:t>Статья 7.</w:t>
            </w:r>
            <w:r w:rsidRPr="00765602">
              <w:rPr>
                <w:rFonts w:eastAsia="Calibri"/>
                <w:lang w:eastAsia="en-US"/>
              </w:rPr>
              <w:t xml:space="preserve"> </w:t>
            </w:r>
            <w:r w:rsidRPr="00765602">
              <w:t xml:space="preserve">Места содержания под стражей </w:t>
            </w:r>
          </w:p>
          <w:p w:rsidR="00BC2644" w:rsidRPr="00765602" w:rsidRDefault="00BC2644" w:rsidP="003F1E5C">
            <w:pPr>
              <w:ind w:firstLine="678"/>
              <w:jc w:val="both"/>
            </w:pPr>
            <w:r w:rsidRPr="00765602">
              <w:t>1. Местами содержания под стражей подозреваемых и обвиняемых являются:</w:t>
            </w:r>
          </w:p>
          <w:p w:rsidR="00BC2644" w:rsidRPr="00765602" w:rsidRDefault="00BC2644" w:rsidP="003F1E5C">
            <w:pPr>
              <w:ind w:firstLine="678"/>
              <w:jc w:val="both"/>
            </w:pPr>
            <w:r w:rsidRPr="00765602">
              <w:t>а) следственные изоляторы уголовно-исполнительной системы Министерства юстиции Приднестровской Молдавской Республики;</w:t>
            </w:r>
            <w:bookmarkStart w:id="0" w:name="_GoBack"/>
            <w:bookmarkEnd w:id="0"/>
          </w:p>
          <w:p w:rsidR="00BC2644" w:rsidRDefault="00BC2644" w:rsidP="003F1E5C">
            <w:pPr>
              <w:ind w:firstLine="678"/>
              <w:jc w:val="both"/>
            </w:pPr>
            <w:r w:rsidRPr="00765602">
              <w:t>б) изоляторы временного содержания подозреваемых и обвиняемых органов внутренних дел Приднестровской Молдавской Республики;</w:t>
            </w:r>
          </w:p>
          <w:p w:rsidR="00BC2644" w:rsidRDefault="00BC2644" w:rsidP="003F1E5C">
            <w:pPr>
              <w:ind w:firstLine="678"/>
              <w:jc w:val="both"/>
              <w:rPr>
                <w:b/>
              </w:rPr>
            </w:pPr>
            <w:r w:rsidRPr="00AE39E5">
              <w:rPr>
                <w:b/>
              </w:rPr>
              <w:t>в) исключен</w:t>
            </w:r>
          </w:p>
          <w:p w:rsidR="00BC2644" w:rsidRPr="00AE39E5" w:rsidRDefault="00BC2644" w:rsidP="003F1E5C">
            <w:pPr>
              <w:ind w:firstLine="678"/>
              <w:jc w:val="both"/>
              <w:rPr>
                <w:b/>
              </w:rPr>
            </w:pPr>
          </w:p>
          <w:p w:rsidR="00BC2644" w:rsidRPr="00765602" w:rsidRDefault="00BC2644" w:rsidP="003F1E5C">
            <w:pPr>
              <w:ind w:firstLine="678"/>
              <w:jc w:val="both"/>
            </w:pPr>
            <w:r>
              <w:t>г</w:t>
            </w:r>
            <w:r w:rsidRPr="00765602">
              <w:t>) специально оборудованные помещения судебных органов;</w:t>
            </w:r>
          </w:p>
          <w:p w:rsidR="00BC2644" w:rsidRDefault="00BC2644" w:rsidP="003F1E5C">
            <w:pPr>
              <w:ind w:firstLine="678"/>
              <w:jc w:val="both"/>
            </w:pPr>
            <w:r>
              <w:rPr>
                <w:bCs/>
              </w:rPr>
              <w:t>д</w:t>
            </w:r>
            <w:r w:rsidRPr="00765602">
              <w:rPr>
                <w:bCs/>
                <w:lang w:val="x-none"/>
              </w:rPr>
              <w:t>) гауптвахты Вооруженных сил Приднестровской Молдавской Республики</w:t>
            </w:r>
            <w:r w:rsidRPr="00765602">
              <w:t>.</w:t>
            </w:r>
          </w:p>
          <w:p w:rsidR="00BC2644" w:rsidRPr="00765602" w:rsidRDefault="00BC2644" w:rsidP="003F1E5C">
            <w:pPr>
              <w:ind w:firstLine="678"/>
              <w:jc w:val="both"/>
            </w:pPr>
          </w:p>
          <w:p w:rsidR="00BC2644" w:rsidRPr="00250B9D" w:rsidRDefault="00BC2644" w:rsidP="003F1E5C">
            <w:pPr>
              <w:ind w:firstLine="460"/>
              <w:jc w:val="both"/>
            </w:pPr>
            <w:r w:rsidRPr="00765602">
              <w:rPr>
                <w:b/>
                <w:bCs/>
              </w:rPr>
              <w:t xml:space="preserve">Статья </w:t>
            </w:r>
            <w:r>
              <w:rPr>
                <w:b/>
                <w:bCs/>
              </w:rPr>
              <w:t>4</w:t>
            </w:r>
            <w:r w:rsidRPr="00765602">
              <w:rPr>
                <w:b/>
                <w:bCs/>
              </w:rPr>
              <w:t xml:space="preserve">0. </w:t>
            </w:r>
            <w:r w:rsidRPr="00765602">
              <w:t>Содержание в карцере</w:t>
            </w:r>
          </w:p>
          <w:p w:rsidR="00BC2644" w:rsidRPr="00765602" w:rsidRDefault="00BC2644" w:rsidP="003F1E5C">
            <w:pPr>
              <w:ind w:firstLine="601"/>
              <w:jc w:val="both"/>
              <w:rPr>
                <w:b/>
                <w:bCs/>
              </w:rPr>
            </w:pPr>
            <w:r w:rsidRPr="00765602">
              <w:t>4. Содержание подозреваемых и обвиняемых в карцере одиночное. В карцере подозреваемые и обвиняемые обеспечиваются индивидуальным спальным местом и постельными принадлежностями только на время сна в установленные часы. В период содержания в карцере подозреваемым и обвиняемым запрещаются переписка, свидания, кроме свиданий с защитником,</w:t>
            </w:r>
            <w:r w:rsidRPr="002D0DE7">
              <w:rPr>
                <w:b/>
              </w:rPr>
              <w:t xml:space="preserve"> </w:t>
            </w:r>
            <w:r w:rsidRPr="00AE39E5">
              <w:t xml:space="preserve">а также приобретение продуктов питания и предметов первой </w:t>
            </w:r>
            <w:proofErr w:type="gramStart"/>
            <w:r w:rsidRPr="00AE39E5">
              <w:t>необходимости,  получение</w:t>
            </w:r>
            <w:proofErr w:type="gramEnd"/>
            <w:r w:rsidRPr="00AE39E5">
              <w:t xml:space="preserve"> посылок и передач, пользование настольными играми,</w:t>
            </w:r>
            <w:r w:rsidRPr="00765602">
              <w:t xml:space="preserve"> </w:t>
            </w:r>
            <w:r>
              <w:t>просмотр телепередач</w:t>
            </w:r>
            <w:r w:rsidRPr="00765602">
              <w:t>. Посылки и передачи вручаются подозреваемым и обвиняемым после окончания срока их пребывания в карцере. Подозреваемые и обвиняемые, содержащиеся в карцере, имеют право на ежедневн</w:t>
            </w:r>
            <w:r>
              <w:t xml:space="preserve">ую прогулку продолжительностью </w:t>
            </w:r>
            <w:r w:rsidRPr="0094310B">
              <w:t>30 (тридцать) минут.</w:t>
            </w:r>
          </w:p>
          <w:p w:rsidR="00BC2644" w:rsidRDefault="00BC2644" w:rsidP="003F1E5C">
            <w:pPr>
              <w:ind w:firstLine="460"/>
              <w:rPr>
                <w:b/>
                <w:bCs/>
              </w:rPr>
            </w:pPr>
          </w:p>
          <w:p w:rsidR="00BC2644" w:rsidRPr="00765602" w:rsidRDefault="00BC2644" w:rsidP="003F1E5C">
            <w:pPr>
              <w:rPr>
                <w:b/>
                <w:bCs/>
              </w:rPr>
            </w:pPr>
          </w:p>
          <w:p w:rsidR="00BC2644" w:rsidRPr="00765602" w:rsidRDefault="00BC2644" w:rsidP="003F1E5C">
            <w:pPr>
              <w:outlineLvl w:val="2"/>
            </w:pPr>
          </w:p>
        </w:tc>
      </w:tr>
    </w:tbl>
    <w:p w:rsidR="003D28E8" w:rsidRPr="00BC2644" w:rsidRDefault="003D28E8" w:rsidP="00BC2644"/>
    <w:sectPr w:rsidR="003D28E8" w:rsidRPr="00BC2644" w:rsidSect="00BC2644">
      <w:pgSz w:w="11906" w:h="16838"/>
      <w:pgMar w:top="426"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817B"/>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78DB-0C73-4798-BDF6-DC391729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65</cp:revision>
  <cp:lastPrinted>2026-01-30T06:58:00Z</cp:lastPrinted>
  <dcterms:created xsi:type="dcterms:W3CDTF">2026-02-09T12:39:00Z</dcterms:created>
  <dcterms:modified xsi:type="dcterms:W3CDTF">2026-02-21T06:36:00Z</dcterms:modified>
</cp:coreProperties>
</file>