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8C2" w:rsidRPr="005C78C2" w:rsidRDefault="005C78C2" w:rsidP="005C78C2">
      <w:pPr>
        <w:spacing w:after="160" w:line="259" w:lineRule="auto"/>
        <w:jc w:val="center"/>
        <w:rPr>
          <w:rFonts w:eastAsiaTheme="minorHAnsi"/>
          <w:b/>
          <w:sz w:val="28"/>
          <w:szCs w:val="28"/>
          <w:lang w:eastAsia="en-US"/>
        </w:rPr>
      </w:pPr>
      <w:r w:rsidRPr="005C78C2">
        <w:rPr>
          <w:rFonts w:eastAsiaTheme="minorHAnsi"/>
          <w:b/>
          <w:sz w:val="28"/>
          <w:szCs w:val="28"/>
          <w:lang w:eastAsia="en-US"/>
        </w:rPr>
        <w:t>Сравнительная таблица</w:t>
      </w:r>
    </w:p>
    <w:p w:rsidR="005C78C2" w:rsidRPr="005C78C2" w:rsidRDefault="005C78C2" w:rsidP="005C78C2">
      <w:pPr>
        <w:spacing w:line="259" w:lineRule="auto"/>
        <w:jc w:val="center"/>
        <w:rPr>
          <w:rFonts w:eastAsiaTheme="minorHAnsi"/>
          <w:sz w:val="28"/>
          <w:szCs w:val="28"/>
          <w:lang w:eastAsia="en-US"/>
        </w:rPr>
      </w:pPr>
      <w:r w:rsidRPr="005C78C2">
        <w:rPr>
          <w:rFonts w:eastAsiaTheme="minorHAnsi"/>
          <w:sz w:val="28"/>
          <w:szCs w:val="28"/>
          <w:lang w:eastAsia="en-US"/>
        </w:rPr>
        <w:t xml:space="preserve">к проекту закона Приднестровской Молдавской Республики </w:t>
      </w:r>
    </w:p>
    <w:p w:rsidR="005C78C2" w:rsidRPr="005C78C2" w:rsidRDefault="005C78C2" w:rsidP="005C78C2">
      <w:pPr>
        <w:spacing w:line="259" w:lineRule="auto"/>
        <w:jc w:val="center"/>
        <w:rPr>
          <w:rFonts w:eastAsiaTheme="minorHAnsi"/>
          <w:sz w:val="28"/>
          <w:szCs w:val="28"/>
          <w:lang w:eastAsia="en-US"/>
        </w:rPr>
      </w:pPr>
      <w:r w:rsidRPr="005C78C2">
        <w:rPr>
          <w:rFonts w:eastAsiaTheme="minorHAnsi"/>
          <w:sz w:val="28"/>
          <w:szCs w:val="28"/>
          <w:lang w:eastAsia="en-US"/>
        </w:rPr>
        <w:t xml:space="preserve">«О внесении дополнения в Закон Приднестровской Молдавской Республики </w:t>
      </w:r>
    </w:p>
    <w:p w:rsidR="005C78C2" w:rsidRPr="005C78C2" w:rsidRDefault="005C78C2" w:rsidP="005C78C2">
      <w:pPr>
        <w:spacing w:line="259" w:lineRule="auto"/>
        <w:jc w:val="center"/>
        <w:rPr>
          <w:rFonts w:eastAsiaTheme="minorHAnsi"/>
          <w:sz w:val="28"/>
          <w:szCs w:val="28"/>
          <w:lang w:eastAsia="en-US"/>
        </w:rPr>
      </w:pPr>
      <w:r w:rsidRPr="005C78C2">
        <w:rPr>
          <w:rFonts w:eastAsiaTheme="minorHAnsi"/>
          <w:sz w:val="28"/>
          <w:szCs w:val="28"/>
          <w:lang w:eastAsia="en-US"/>
        </w:rPr>
        <w:t>«О порядке проведения проверок при осуществлении государственного контроля (надзора)»</w:t>
      </w:r>
    </w:p>
    <w:p w:rsidR="005C78C2" w:rsidRPr="005C78C2" w:rsidRDefault="005C78C2" w:rsidP="005C78C2">
      <w:pPr>
        <w:spacing w:line="259" w:lineRule="auto"/>
        <w:jc w:val="center"/>
        <w:rPr>
          <w:rFonts w:eastAsiaTheme="minorHAnsi"/>
          <w:sz w:val="28"/>
          <w:szCs w:val="28"/>
          <w:lang w:eastAsia="en-US"/>
        </w:rPr>
      </w:pPr>
    </w:p>
    <w:tbl>
      <w:tblPr>
        <w:tblStyle w:val="ad"/>
        <w:tblW w:w="10207" w:type="dxa"/>
        <w:tblInd w:w="-714" w:type="dxa"/>
        <w:tblLook w:val="04A0" w:firstRow="1" w:lastRow="0" w:firstColumn="1" w:lastColumn="0" w:noHBand="0" w:noVBand="1"/>
      </w:tblPr>
      <w:tblGrid>
        <w:gridCol w:w="498"/>
        <w:gridCol w:w="4747"/>
        <w:gridCol w:w="4962"/>
      </w:tblGrid>
      <w:tr w:rsidR="005C78C2" w:rsidRPr="005C78C2" w:rsidTr="003F1E5C">
        <w:tc>
          <w:tcPr>
            <w:tcW w:w="498" w:type="dxa"/>
          </w:tcPr>
          <w:p w:rsidR="005C78C2" w:rsidRPr="005C78C2" w:rsidRDefault="005C78C2" w:rsidP="005C78C2">
            <w:pPr>
              <w:jc w:val="center"/>
              <w:rPr>
                <w:rFonts w:eastAsiaTheme="minorHAnsi"/>
                <w:b/>
                <w:sz w:val="28"/>
                <w:szCs w:val="28"/>
                <w:lang w:eastAsia="en-US"/>
              </w:rPr>
            </w:pPr>
            <w:r w:rsidRPr="005C78C2">
              <w:rPr>
                <w:rFonts w:eastAsiaTheme="minorHAnsi"/>
                <w:b/>
                <w:sz w:val="28"/>
                <w:szCs w:val="28"/>
                <w:lang w:eastAsia="en-US"/>
              </w:rPr>
              <w:t>№</w:t>
            </w:r>
          </w:p>
        </w:tc>
        <w:tc>
          <w:tcPr>
            <w:tcW w:w="4747" w:type="dxa"/>
          </w:tcPr>
          <w:p w:rsidR="005C78C2" w:rsidRPr="005C78C2" w:rsidRDefault="005C78C2" w:rsidP="005C78C2">
            <w:pPr>
              <w:jc w:val="center"/>
              <w:rPr>
                <w:rFonts w:eastAsiaTheme="minorHAnsi"/>
                <w:b/>
                <w:sz w:val="28"/>
                <w:szCs w:val="28"/>
                <w:lang w:eastAsia="en-US"/>
              </w:rPr>
            </w:pPr>
            <w:r w:rsidRPr="005C78C2">
              <w:rPr>
                <w:rFonts w:eastAsiaTheme="minorHAnsi"/>
                <w:b/>
                <w:sz w:val="28"/>
                <w:szCs w:val="28"/>
                <w:lang w:eastAsia="en-US"/>
              </w:rPr>
              <w:t>Действующая редакция</w:t>
            </w:r>
          </w:p>
        </w:tc>
        <w:tc>
          <w:tcPr>
            <w:tcW w:w="4962" w:type="dxa"/>
          </w:tcPr>
          <w:p w:rsidR="005C78C2" w:rsidRPr="005C78C2" w:rsidRDefault="005C78C2" w:rsidP="005C78C2">
            <w:pPr>
              <w:jc w:val="center"/>
              <w:rPr>
                <w:rFonts w:eastAsiaTheme="minorHAnsi"/>
                <w:b/>
                <w:sz w:val="28"/>
                <w:szCs w:val="28"/>
                <w:lang w:eastAsia="en-US"/>
              </w:rPr>
            </w:pPr>
            <w:r w:rsidRPr="005C78C2">
              <w:rPr>
                <w:rFonts w:eastAsiaTheme="minorHAnsi"/>
                <w:b/>
                <w:sz w:val="28"/>
                <w:szCs w:val="28"/>
                <w:lang w:eastAsia="en-US"/>
              </w:rPr>
              <w:t>Предлагаемая редакция</w:t>
            </w:r>
          </w:p>
        </w:tc>
      </w:tr>
      <w:tr w:rsidR="005C78C2" w:rsidRPr="005C78C2" w:rsidTr="003F1E5C">
        <w:tc>
          <w:tcPr>
            <w:tcW w:w="498" w:type="dxa"/>
          </w:tcPr>
          <w:p w:rsidR="005C78C2" w:rsidRPr="005C78C2" w:rsidRDefault="005C78C2" w:rsidP="005C78C2">
            <w:pPr>
              <w:rPr>
                <w:rFonts w:eastAsiaTheme="minorHAnsi"/>
                <w:sz w:val="28"/>
                <w:szCs w:val="28"/>
                <w:lang w:eastAsia="en-US"/>
              </w:rPr>
            </w:pPr>
            <w:r w:rsidRPr="005C78C2">
              <w:rPr>
                <w:rFonts w:eastAsiaTheme="minorHAnsi"/>
                <w:sz w:val="28"/>
                <w:szCs w:val="28"/>
                <w:lang w:eastAsia="en-US"/>
              </w:rPr>
              <w:t>1.</w:t>
            </w:r>
          </w:p>
        </w:tc>
        <w:tc>
          <w:tcPr>
            <w:tcW w:w="4747" w:type="dxa"/>
          </w:tcPr>
          <w:p w:rsidR="005C78C2" w:rsidRPr="005C78C2" w:rsidRDefault="005C78C2" w:rsidP="005C78C2">
            <w:pPr>
              <w:rPr>
                <w:rFonts w:eastAsiaTheme="minorHAnsi"/>
                <w:b/>
                <w:sz w:val="28"/>
                <w:szCs w:val="28"/>
                <w:lang w:eastAsia="en-US"/>
              </w:rPr>
            </w:pPr>
            <w:r w:rsidRPr="005C78C2">
              <w:rPr>
                <w:rFonts w:eastAsiaTheme="minorHAnsi"/>
                <w:sz w:val="28"/>
                <w:szCs w:val="28"/>
                <w:lang w:eastAsia="en-US"/>
              </w:rPr>
              <w:t xml:space="preserve"> </w:t>
            </w:r>
            <w:r w:rsidRPr="005C78C2">
              <w:rPr>
                <w:rFonts w:eastAsiaTheme="minorHAnsi"/>
                <w:b/>
                <w:sz w:val="28"/>
                <w:szCs w:val="28"/>
                <w:lang w:eastAsia="en-US"/>
              </w:rPr>
              <w:t xml:space="preserve">     Часть первая пункта 6 статьи 8:</w:t>
            </w:r>
          </w:p>
          <w:p w:rsidR="005C78C2" w:rsidRPr="005C78C2" w:rsidRDefault="005C78C2" w:rsidP="005C78C2">
            <w:pPr>
              <w:ind w:firstLine="720"/>
              <w:jc w:val="both"/>
              <w:outlineLvl w:val="0"/>
              <w:rPr>
                <w:sz w:val="28"/>
                <w:szCs w:val="28"/>
              </w:rPr>
            </w:pPr>
            <w:r w:rsidRPr="005C78C2">
              <w:rPr>
                <w:b/>
                <w:sz w:val="28"/>
                <w:szCs w:val="28"/>
              </w:rPr>
              <w:t>«</w:t>
            </w:r>
            <w:r w:rsidRPr="005C78C2">
              <w:rPr>
                <w:sz w:val="28"/>
                <w:szCs w:val="28"/>
              </w:rPr>
              <w:t>Статья 8. Режимы государственного контроля (надзора)</w:t>
            </w:r>
          </w:p>
          <w:p w:rsidR="005C78C2" w:rsidRPr="005C78C2" w:rsidRDefault="005C78C2" w:rsidP="005C78C2">
            <w:pPr>
              <w:ind w:firstLine="720"/>
              <w:jc w:val="both"/>
              <w:rPr>
                <w:sz w:val="28"/>
                <w:szCs w:val="28"/>
              </w:rPr>
            </w:pPr>
            <w:r w:rsidRPr="005C78C2">
              <w:rPr>
                <w:sz w:val="28"/>
                <w:szCs w:val="28"/>
              </w:rPr>
              <w:t xml:space="preserve"> …</w:t>
            </w:r>
          </w:p>
          <w:p w:rsidR="005C78C2" w:rsidRPr="005C78C2" w:rsidRDefault="005C78C2" w:rsidP="005C78C2">
            <w:pPr>
              <w:ind w:firstLine="720"/>
              <w:jc w:val="both"/>
              <w:rPr>
                <w:sz w:val="28"/>
                <w:szCs w:val="28"/>
              </w:rPr>
            </w:pPr>
            <w:r w:rsidRPr="005C78C2">
              <w:rPr>
                <w:sz w:val="28"/>
                <w:szCs w:val="28"/>
              </w:rPr>
              <w:t>6. Внеплановые контрольные мероприятия могут также проводиться:</w:t>
            </w:r>
          </w:p>
          <w:p w:rsidR="005C78C2" w:rsidRPr="005C78C2" w:rsidRDefault="005C78C2" w:rsidP="005C78C2">
            <w:pPr>
              <w:ind w:firstLine="720"/>
              <w:jc w:val="both"/>
              <w:rPr>
                <w:sz w:val="28"/>
                <w:szCs w:val="28"/>
              </w:rPr>
            </w:pPr>
            <w:r w:rsidRPr="005C78C2">
              <w:rPr>
                <w:sz w:val="28"/>
                <w:szCs w:val="28"/>
              </w:rPr>
              <w:t>а) на основании письменного заявления физического или юридического лица либо заявления физического или юридического лица в форме электронного документа, подписанного усиленной квалифицированной электронной подписью, публикаций в средствах массовой информации о нарушении юридическим лицом, физическим лицом, в том числе индивидуальным предпринимателем, прав и законных интересов обратившихся лиц;</w:t>
            </w:r>
          </w:p>
          <w:p w:rsidR="005C78C2" w:rsidRPr="005C78C2" w:rsidRDefault="005C78C2" w:rsidP="005C78C2">
            <w:pPr>
              <w:ind w:firstLine="720"/>
              <w:jc w:val="both"/>
              <w:rPr>
                <w:spacing w:val="-8"/>
                <w:sz w:val="28"/>
                <w:szCs w:val="28"/>
              </w:rPr>
            </w:pPr>
            <w:r w:rsidRPr="005C78C2">
              <w:rPr>
                <w:sz w:val="28"/>
                <w:szCs w:val="28"/>
              </w:rPr>
              <w:t>б)</w:t>
            </w:r>
            <w:r w:rsidRPr="005C78C2">
              <w:rPr>
                <w:color w:val="333333"/>
                <w:sz w:val="28"/>
                <w:szCs w:val="28"/>
              </w:rPr>
              <w:t xml:space="preserve"> </w:t>
            </w:r>
            <w:r w:rsidRPr="005C78C2">
              <w:rPr>
                <w:spacing w:val="-8"/>
                <w:sz w:val="28"/>
                <w:szCs w:val="28"/>
              </w:rPr>
              <w:t>на основании решений Президента Приднестровской Молдавской Республики, Верховного Совета Приднестровской Молдавской Республики;</w:t>
            </w:r>
          </w:p>
          <w:p w:rsidR="005C78C2" w:rsidRPr="005C78C2" w:rsidRDefault="005C78C2" w:rsidP="005C78C2">
            <w:pPr>
              <w:ind w:firstLine="720"/>
              <w:jc w:val="both"/>
              <w:rPr>
                <w:sz w:val="28"/>
                <w:szCs w:val="28"/>
              </w:rPr>
            </w:pPr>
            <w:r w:rsidRPr="005C78C2">
              <w:rPr>
                <w:color w:val="000000"/>
                <w:spacing w:val="-8"/>
                <w:sz w:val="28"/>
                <w:szCs w:val="28"/>
              </w:rPr>
              <w:t>в) на основании требования Прокурора Приднестровской Молдавской Республики, его заместителей в рамках надзора за исполнением законов по поступившим материалам и обращениям</w:t>
            </w:r>
            <w:r w:rsidRPr="005C78C2">
              <w:rPr>
                <w:sz w:val="28"/>
                <w:szCs w:val="28"/>
              </w:rPr>
              <w:t>».</w:t>
            </w:r>
          </w:p>
        </w:tc>
        <w:tc>
          <w:tcPr>
            <w:tcW w:w="4962" w:type="dxa"/>
          </w:tcPr>
          <w:p w:rsidR="005C78C2" w:rsidRPr="005C78C2" w:rsidRDefault="005C78C2" w:rsidP="005C78C2">
            <w:pPr>
              <w:rPr>
                <w:rFonts w:eastAsiaTheme="minorHAnsi"/>
                <w:b/>
                <w:sz w:val="28"/>
                <w:szCs w:val="28"/>
                <w:lang w:eastAsia="en-US"/>
              </w:rPr>
            </w:pPr>
            <w:r w:rsidRPr="005C78C2">
              <w:rPr>
                <w:rFonts w:eastAsiaTheme="minorHAnsi"/>
                <w:sz w:val="28"/>
                <w:szCs w:val="28"/>
                <w:lang w:eastAsia="en-US"/>
              </w:rPr>
              <w:t xml:space="preserve">      </w:t>
            </w:r>
            <w:r w:rsidRPr="005C78C2">
              <w:rPr>
                <w:rFonts w:eastAsiaTheme="minorHAnsi"/>
                <w:b/>
                <w:sz w:val="28"/>
                <w:szCs w:val="28"/>
                <w:lang w:eastAsia="en-US"/>
              </w:rPr>
              <w:t>Подпункт г) части первой пункта 6 статьи 8:</w:t>
            </w:r>
          </w:p>
          <w:p w:rsidR="005C78C2" w:rsidRPr="005C78C2" w:rsidRDefault="005C78C2" w:rsidP="005C78C2">
            <w:pPr>
              <w:ind w:firstLine="720"/>
              <w:jc w:val="both"/>
              <w:rPr>
                <w:sz w:val="28"/>
                <w:szCs w:val="28"/>
              </w:rPr>
            </w:pPr>
          </w:p>
          <w:p w:rsidR="005C78C2" w:rsidRPr="005C78C2" w:rsidRDefault="005C78C2" w:rsidP="005C78C2">
            <w:pPr>
              <w:ind w:firstLine="720"/>
              <w:jc w:val="both"/>
              <w:rPr>
                <w:sz w:val="28"/>
                <w:szCs w:val="28"/>
              </w:rPr>
            </w:pPr>
            <w:r w:rsidRPr="005C78C2">
              <w:rPr>
                <w:sz w:val="28"/>
                <w:szCs w:val="28"/>
              </w:rPr>
              <w:t>«</w:t>
            </w:r>
            <w:r w:rsidRPr="005C78C2">
              <w:rPr>
                <w:b/>
                <w:sz w:val="28"/>
                <w:szCs w:val="28"/>
              </w:rPr>
              <w:t>г</w:t>
            </w:r>
            <w:r w:rsidRPr="005C78C2">
              <w:rPr>
                <w:sz w:val="28"/>
                <w:szCs w:val="28"/>
              </w:rPr>
              <w:t>)</w:t>
            </w:r>
            <w:r w:rsidRPr="005C78C2">
              <w:rPr>
                <w:color w:val="333333"/>
                <w:sz w:val="28"/>
                <w:szCs w:val="28"/>
              </w:rPr>
              <w:t xml:space="preserve"> </w:t>
            </w:r>
            <w:r w:rsidRPr="005C78C2">
              <w:rPr>
                <w:b/>
                <w:spacing w:val="-8"/>
                <w:sz w:val="28"/>
                <w:szCs w:val="28"/>
              </w:rPr>
              <w:t>на основании письменного обращения депутата Верховного Совета Приднестровской Молдавской Республики, народного депутата местного Совета народных депутатов Приднестровской Молдавской Республики, за исключением внеплановых проверок, проводимых Счетной палатой Приднестровской Молдавской Республики</w:t>
            </w:r>
            <w:r w:rsidRPr="005C78C2">
              <w:rPr>
                <w:sz w:val="28"/>
                <w:szCs w:val="28"/>
              </w:rPr>
              <w:t>».</w:t>
            </w:r>
          </w:p>
        </w:tc>
      </w:tr>
    </w:tbl>
    <w:p w:rsidR="003D28E8" w:rsidRPr="00BC2644" w:rsidRDefault="003D28E8" w:rsidP="00EA4501">
      <w:pPr>
        <w:widowControl w:val="0"/>
        <w:autoSpaceDE w:val="0"/>
        <w:autoSpaceDN w:val="0"/>
        <w:adjustRightInd w:val="0"/>
      </w:pPr>
      <w:bookmarkStart w:id="0" w:name="_GoBack"/>
      <w:bookmarkEnd w:id="0"/>
    </w:p>
    <w:sectPr w:rsidR="003D28E8" w:rsidRPr="00BC2644" w:rsidSect="00DC5E69">
      <w:headerReference w:type="default" r:id="rId6"/>
      <w:pgSz w:w="11906" w:h="16838" w:code="9"/>
      <w:pgMar w:top="567" w:right="567" w:bottom="709" w:left="1701" w:header="709" w:footer="709"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C78C2">
        <w:pPr>
          <w:pStyle w:val="ae"/>
          <w:jc w:val="center"/>
        </w:pPr>
        <w:r>
          <w:fldChar w:fldCharType="begin"/>
        </w:r>
        <w:r>
          <w:instrText>PAGE   \* MERGEFORMAT</w:instrText>
        </w:r>
        <w:r>
          <w:fldChar w:fldCharType="separate"/>
        </w:r>
        <w:r w:rsidR="00EA4501">
          <w:rPr>
            <w:noProof/>
          </w:rPr>
          <w:t>- 2 -</w:t>
        </w:r>
        <w:r>
          <w:fldChar w:fldCharType="end"/>
        </w:r>
      </w:p>
    </w:sdtContent>
  </w:sdt>
  <w:p w:rsidR="004954C8" w:rsidRDefault="005C78C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817B"/>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3316E-2E62-472B-9CD5-6A4962F7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223</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69</cp:revision>
  <cp:lastPrinted>2026-01-30T06:58:00Z</cp:lastPrinted>
  <dcterms:created xsi:type="dcterms:W3CDTF">2026-02-09T12:39:00Z</dcterms:created>
  <dcterms:modified xsi:type="dcterms:W3CDTF">2026-02-21T07:06:00Z</dcterms:modified>
</cp:coreProperties>
</file>