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AD8" w:rsidRDefault="00913AD8" w:rsidP="008A66C9">
      <w:pPr>
        <w:jc w:val="center"/>
        <w:rPr>
          <w:b/>
        </w:rPr>
      </w:pPr>
      <w:r w:rsidRPr="004439A8">
        <w:rPr>
          <w:b/>
        </w:rPr>
        <w:t>Сравнительная таблица</w:t>
      </w:r>
    </w:p>
    <w:p w:rsidR="00913AD8" w:rsidRDefault="00913AD8" w:rsidP="008A66C9">
      <w:pPr>
        <w:jc w:val="center"/>
      </w:pPr>
      <w:r w:rsidRPr="004439A8">
        <w:t>к проекту закона Приднестровской Молдавской Республики</w:t>
      </w:r>
    </w:p>
    <w:p w:rsidR="00913AD8" w:rsidRDefault="00913AD8" w:rsidP="008A66C9">
      <w:pPr>
        <w:jc w:val="center"/>
      </w:pPr>
      <w:r w:rsidRPr="004439A8">
        <w:t>«О внесении изменения в Закон Приднестровской Молдавской Республики</w:t>
      </w:r>
    </w:p>
    <w:p w:rsidR="00913AD8" w:rsidRPr="004439A8" w:rsidRDefault="00913AD8" w:rsidP="008A66C9">
      <w:pPr>
        <w:jc w:val="center"/>
        <w:rPr>
          <w:b/>
        </w:rPr>
      </w:pPr>
      <w:r w:rsidRPr="004439A8">
        <w:t>«О Едином государственном реестре недвижимых объектов культурного наследия Приднестровской Молдавской Республики»</w:t>
      </w:r>
    </w:p>
    <w:p w:rsidR="00913AD8" w:rsidRPr="004439A8" w:rsidRDefault="00913AD8" w:rsidP="008A66C9">
      <w:pPr>
        <w:jc w:val="center"/>
      </w:pPr>
    </w:p>
    <w:tbl>
      <w:tblPr>
        <w:tblW w:w="530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5263"/>
      </w:tblGrid>
      <w:tr w:rsidR="00913AD8" w:rsidRPr="004439A8" w:rsidTr="00C71D24">
        <w:trPr>
          <w:trHeight w:val="589"/>
        </w:trPr>
        <w:tc>
          <w:tcPr>
            <w:tcW w:w="2424" w:type="pct"/>
          </w:tcPr>
          <w:p w:rsidR="00913AD8" w:rsidRPr="004439A8" w:rsidRDefault="00913AD8" w:rsidP="008A66C9">
            <w:pPr>
              <w:jc w:val="center"/>
              <w:rPr>
                <w:spacing w:val="-10"/>
              </w:rPr>
            </w:pPr>
            <w:r w:rsidRPr="004439A8">
              <w:rPr>
                <w:spacing w:val="-10"/>
              </w:rPr>
              <w:t>Действующая редакция</w:t>
            </w:r>
          </w:p>
        </w:tc>
        <w:tc>
          <w:tcPr>
            <w:tcW w:w="2576" w:type="pct"/>
          </w:tcPr>
          <w:p w:rsidR="00913AD8" w:rsidRPr="004439A8" w:rsidRDefault="00913AD8" w:rsidP="008A66C9">
            <w:pPr>
              <w:jc w:val="center"/>
              <w:rPr>
                <w:spacing w:val="-10"/>
              </w:rPr>
            </w:pPr>
            <w:r w:rsidRPr="004439A8">
              <w:rPr>
                <w:spacing w:val="-10"/>
              </w:rPr>
              <w:t>Предлагаемая редакция</w:t>
            </w:r>
          </w:p>
        </w:tc>
      </w:tr>
      <w:tr w:rsidR="00913AD8" w:rsidRPr="004439A8" w:rsidTr="00C71D24">
        <w:trPr>
          <w:trHeight w:val="2410"/>
        </w:trPr>
        <w:tc>
          <w:tcPr>
            <w:tcW w:w="2424" w:type="pct"/>
          </w:tcPr>
          <w:p w:rsidR="00913AD8" w:rsidRPr="004439A8" w:rsidRDefault="00913AD8" w:rsidP="008A66C9">
            <w:pPr>
              <w:ind w:left="1879"/>
              <w:jc w:val="center"/>
            </w:pPr>
            <w:r w:rsidRPr="004439A8">
              <w:t>Приложение к Закону Приднестровской Молдавской Республики «О Едином государственном реестре недвижимых объектов культурного наследия Приднестровской Молдавской Республики»</w:t>
            </w:r>
          </w:p>
          <w:p w:rsidR="00913AD8" w:rsidRPr="004439A8" w:rsidRDefault="00913AD8" w:rsidP="008A66C9">
            <w:pPr>
              <w:jc w:val="center"/>
              <w:outlineLvl w:val="0"/>
              <w:rPr>
                <w:b/>
                <w:i/>
                <w:szCs w:val="24"/>
              </w:rPr>
            </w:pPr>
          </w:p>
          <w:p w:rsidR="00913AD8" w:rsidRPr="004439A8" w:rsidRDefault="00913AD8" w:rsidP="008A66C9">
            <w:pPr>
              <w:jc w:val="center"/>
              <w:outlineLvl w:val="0"/>
              <w:rPr>
                <w:b/>
                <w:i/>
                <w:szCs w:val="24"/>
              </w:rPr>
            </w:pPr>
            <w:r w:rsidRPr="004439A8">
              <w:rPr>
                <w:szCs w:val="24"/>
              </w:rPr>
              <w:t>Единый государственный реестр недвижимых объектов культурного наследия Приднестровской Молдавской Республики</w:t>
            </w:r>
          </w:p>
          <w:p w:rsidR="00913AD8" w:rsidRPr="004439A8" w:rsidRDefault="00913AD8" w:rsidP="008A66C9">
            <w:pPr>
              <w:tabs>
                <w:tab w:val="left" w:pos="567"/>
              </w:tabs>
              <w:ind w:firstLine="720"/>
              <w:jc w:val="center"/>
              <w:rPr>
                <w:b/>
              </w:rPr>
            </w:pPr>
          </w:p>
          <w:p w:rsidR="00913AD8" w:rsidRPr="00D96192" w:rsidRDefault="00913AD8" w:rsidP="008A66C9">
            <w:pPr>
              <w:tabs>
                <w:tab w:val="left" w:pos="567"/>
              </w:tabs>
              <w:ind w:firstLine="317"/>
              <w:jc w:val="center"/>
            </w:pPr>
            <w:r w:rsidRPr="00D96192">
              <w:t>…</w:t>
            </w:r>
          </w:p>
          <w:p w:rsidR="00913AD8" w:rsidRPr="00D96192" w:rsidRDefault="00913AD8" w:rsidP="008A66C9">
            <w:pPr>
              <w:tabs>
                <w:tab w:val="left" w:pos="567"/>
              </w:tabs>
              <w:ind w:firstLine="320"/>
              <w:jc w:val="center"/>
              <w:rPr>
                <w:b/>
              </w:rPr>
            </w:pPr>
            <w:r w:rsidRPr="00D96192">
              <w:rPr>
                <w:b/>
              </w:rPr>
              <w:t>250.</w:t>
            </w:r>
            <w:r w:rsidRPr="00D96192">
              <w:t xml:space="preserve"> </w:t>
            </w:r>
            <w:r w:rsidRPr="00D96192">
              <w:rPr>
                <w:b/>
              </w:rPr>
              <w:t>Наименование объекта: водонапорная башня.</w:t>
            </w:r>
          </w:p>
          <w:p w:rsidR="00913AD8" w:rsidRPr="00D96192" w:rsidRDefault="00913AD8" w:rsidP="008A66C9">
            <w:pPr>
              <w:ind w:firstLine="320"/>
              <w:jc w:val="center"/>
              <w:rPr>
                <w:b/>
              </w:rPr>
            </w:pPr>
            <w:r w:rsidRPr="00D96192">
              <w:rPr>
                <w:b/>
              </w:rPr>
              <w:t>Адрес: пер. Христофорова, 5.</w:t>
            </w:r>
          </w:p>
          <w:p w:rsidR="00913AD8" w:rsidRPr="00D96192" w:rsidRDefault="00913AD8" w:rsidP="008A66C9">
            <w:pPr>
              <w:ind w:firstLine="320"/>
              <w:jc w:val="center"/>
              <w:rPr>
                <w:b/>
              </w:rPr>
            </w:pPr>
            <w:r w:rsidRPr="00D96192">
              <w:rPr>
                <w:b/>
              </w:rPr>
              <w:t>Автор: неизвестен.</w:t>
            </w:r>
          </w:p>
          <w:p w:rsidR="00913AD8" w:rsidRPr="00D96192" w:rsidRDefault="00913AD8" w:rsidP="008A66C9">
            <w:pPr>
              <w:ind w:firstLine="320"/>
              <w:jc w:val="center"/>
              <w:rPr>
                <w:b/>
              </w:rPr>
            </w:pPr>
            <w:r w:rsidRPr="00D96192">
              <w:rPr>
                <w:b/>
              </w:rPr>
              <w:t>Датировка: конец XIX века, реконструирована.</w:t>
            </w:r>
          </w:p>
          <w:p w:rsidR="00913AD8" w:rsidRPr="00D96192" w:rsidRDefault="00913AD8" w:rsidP="008A66C9">
            <w:pPr>
              <w:ind w:firstLine="320"/>
              <w:jc w:val="center"/>
              <w:rPr>
                <w:b/>
              </w:rPr>
            </w:pPr>
            <w:r w:rsidRPr="00D96192">
              <w:rPr>
                <w:b/>
              </w:rPr>
              <w:t>Форма собственности: муниципальная.</w:t>
            </w:r>
          </w:p>
          <w:p w:rsidR="00913AD8" w:rsidRPr="004439A8" w:rsidRDefault="00913AD8" w:rsidP="008A66C9">
            <w:pPr>
              <w:tabs>
                <w:tab w:val="left" w:pos="567"/>
              </w:tabs>
              <w:ind w:firstLine="320"/>
              <w:jc w:val="center"/>
            </w:pPr>
            <w:r w:rsidRPr="00D96192">
              <w:t>…</w:t>
            </w:r>
          </w:p>
        </w:tc>
        <w:tc>
          <w:tcPr>
            <w:tcW w:w="2576" w:type="pct"/>
          </w:tcPr>
          <w:p w:rsidR="00913AD8" w:rsidRPr="004439A8" w:rsidRDefault="00913AD8" w:rsidP="008A66C9">
            <w:pPr>
              <w:ind w:left="1885"/>
              <w:jc w:val="center"/>
            </w:pPr>
            <w:r w:rsidRPr="004439A8">
              <w:t>Приложение к Закону Приднестровской Молдавской Республики «О Едином государственном реестре недвижимых объектов культурного наследия Приднестровской Молдавской Республики»</w:t>
            </w:r>
          </w:p>
          <w:p w:rsidR="00913AD8" w:rsidRPr="004439A8" w:rsidRDefault="00913AD8" w:rsidP="008A66C9">
            <w:pPr>
              <w:jc w:val="center"/>
              <w:outlineLvl w:val="0"/>
              <w:rPr>
                <w:b/>
                <w:i/>
                <w:szCs w:val="24"/>
              </w:rPr>
            </w:pPr>
          </w:p>
          <w:p w:rsidR="00913AD8" w:rsidRDefault="00913AD8" w:rsidP="008A66C9">
            <w:pPr>
              <w:jc w:val="center"/>
              <w:outlineLvl w:val="0"/>
              <w:rPr>
                <w:b/>
                <w:i/>
                <w:szCs w:val="24"/>
              </w:rPr>
            </w:pPr>
          </w:p>
          <w:p w:rsidR="00913AD8" w:rsidRPr="004439A8" w:rsidRDefault="00913AD8" w:rsidP="008A66C9">
            <w:pPr>
              <w:jc w:val="center"/>
              <w:outlineLvl w:val="0"/>
              <w:rPr>
                <w:b/>
                <w:i/>
                <w:szCs w:val="24"/>
              </w:rPr>
            </w:pPr>
            <w:r w:rsidRPr="004439A8">
              <w:rPr>
                <w:szCs w:val="24"/>
              </w:rPr>
              <w:t>Единый государственный реестр недвижимых объектов культурного наследия Приднестровской Молдавской Республики</w:t>
            </w:r>
          </w:p>
          <w:p w:rsidR="00913AD8" w:rsidRPr="004439A8" w:rsidRDefault="00913AD8" w:rsidP="008A66C9">
            <w:pPr>
              <w:tabs>
                <w:tab w:val="left" w:pos="426"/>
              </w:tabs>
              <w:ind w:firstLine="334"/>
              <w:jc w:val="center"/>
              <w:rPr>
                <w:b/>
              </w:rPr>
            </w:pPr>
          </w:p>
          <w:p w:rsidR="00913AD8" w:rsidRPr="00D96192" w:rsidRDefault="00913AD8" w:rsidP="008A66C9">
            <w:pPr>
              <w:tabs>
                <w:tab w:val="left" w:pos="426"/>
              </w:tabs>
              <w:ind w:firstLine="334"/>
              <w:jc w:val="center"/>
            </w:pPr>
            <w:r w:rsidRPr="00D96192">
              <w:t>…</w:t>
            </w:r>
          </w:p>
          <w:p w:rsidR="00913AD8" w:rsidRPr="00D96192" w:rsidRDefault="00913AD8" w:rsidP="008A66C9">
            <w:pPr>
              <w:tabs>
                <w:tab w:val="left" w:pos="426"/>
              </w:tabs>
              <w:ind w:firstLine="334"/>
              <w:jc w:val="center"/>
              <w:rPr>
                <w:b/>
              </w:rPr>
            </w:pPr>
            <w:r w:rsidRPr="00D96192">
              <w:rPr>
                <w:b/>
              </w:rPr>
              <w:t>250. Исключён.</w:t>
            </w:r>
          </w:p>
          <w:p w:rsidR="00913AD8" w:rsidRPr="004439A8" w:rsidRDefault="00913AD8" w:rsidP="008A66C9">
            <w:pPr>
              <w:tabs>
                <w:tab w:val="left" w:pos="426"/>
              </w:tabs>
              <w:ind w:firstLine="334"/>
              <w:jc w:val="center"/>
            </w:pPr>
            <w:r w:rsidRPr="00D96192">
              <w:t>…</w:t>
            </w:r>
          </w:p>
        </w:tc>
        <w:bookmarkStart w:id="0" w:name="_GoBack"/>
        <w:bookmarkEnd w:id="0"/>
      </w:tr>
    </w:tbl>
    <w:p w:rsidR="003D28E8" w:rsidRPr="00913AD8" w:rsidRDefault="003D28E8" w:rsidP="00913AD8"/>
    <w:sectPr w:rsidR="003D28E8" w:rsidRPr="00913AD8"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8B" w:rsidRDefault="0091068B">
      <w:r>
        <w:separator/>
      </w:r>
    </w:p>
  </w:endnote>
  <w:endnote w:type="continuationSeparator" w:id="0">
    <w:p w:rsidR="0091068B" w:rsidRDefault="0091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8B" w:rsidRDefault="0091068B">
      <w:r>
        <w:separator/>
      </w:r>
    </w:p>
  </w:footnote>
  <w:footnote w:type="continuationSeparator" w:id="0">
    <w:p w:rsidR="0091068B" w:rsidRDefault="0091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913AD8">
          <w:rPr>
            <w:noProof/>
          </w:rPr>
          <w:t>- 2 -</w:t>
        </w:r>
        <w:r>
          <w:fldChar w:fldCharType="end"/>
        </w:r>
      </w:p>
    </w:sdtContent>
  </w:sdt>
  <w:p w:rsidR="004954C8" w:rsidRDefault="0091068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66ADD"/>
    <w:rsid w:val="00571189"/>
    <w:rsid w:val="005779E9"/>
    <w:rsid w:val="005804FF"/>
    <w:rsid w:val="005833C1"/>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1068B"/>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7D02-052D-4A49-9ABE-76324078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160</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83</cp:revision>
  <cp:lastPrinted>2026-01-30T06:58:00Z</cp:lastPrinted>
  <dcterms:created xsi:type="dcterms:W3CDTF">2026-02-09T12:39:00Z</dcterms:created>
  <dcterms:modified xsi:type="dcterms:W3CDTF">2026-03-02T12:33:00Z</dcterms:modified>
</cp:coreProperties>
</file>