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119" w:rsidRPr="006F2119" w:rsidRDefault="006F2119" w:rsidP="006F2119">
      <w:pPr>
        <w:jc w:val="center"/>
        <w:rPr>
          <w:b/>
          <w:sz w:val="28"/>
          <w:szCs w:val="28"/>
        </w:rPr>
      </w:pPr>
      <w:r w:rsidRPr="006F2119">
        <w:rPr>
          <w:b/>
          <w:sz w:val="28"/>
          <w:szCs w:val="28"/>
        </w:rPr>
        <w:t>Сравнительная таблица к</w:t>
      </w:r>
    </w:p>
    <w:p w:rsidR="006F2119" w:rsidRPr="006F2119" w:rsidRDefault="006F2119" w:rsidP="006F2119">
      <w:pPr>
        <w:jc w:val="center"/>
        <w:rPr>
          <w:sz w:val="28"/>
          <w:szCs w:val="28"/>
        </w:rPr>
      </w:pPr>
      <w:r w:rsidRPr="006F2119">
        <w:rPr>
          <w:rFonts w:ascii="Arial" w:hAnsi="Arial" w:cs="Arial"/>
          <w:b/>
          <w:sz w:val="28"/>
          <w:szCs w:val="28"/>
        </w:rPr>
        <w:t xml:space="preserve"> </w:t>
      </w:r>
      <w:r w:rsidRPr="006F2119">
        <w:rPr>
          <w:b/>
          <w:color w:val="000000"/>
          <w:sz w:val="28"/>
          <w:szCs w:val="28"/>
        </w:rPr>
        <w:t xml:space="preserve">проекту закона Приднестровской Молдавской Республики </w:t>
      </w:r>
      <w:r w:rsidRPr="006F2119">
        <w:rPr>
          <w:rFonts w:eastAsiaTheme="minorHAnsi"/>
          <w:b/>
          <w:sz w:val="28"/>
          <w:szCs w:val="28"/>
          <w:lang w:eastAsia="en-US"/>
        </w:rPr>
        <w:t>«</w:t>
      </w:r>
      <w:r w:rsidRPr="006F2119">
        <w:rPr>
          <w:b/>
          <w:sz w:val="28"/>
          <w:szCs w:val="28"/>
          <w:lang w:eastAsia="en-US"/>
        </w:rPr>
        <w:t xml:space="preserve">О внесении дополнения в </w:t>
      </w:r>
      <w:proofErr w:type="gramStart"/>
      <w:r w:rsidRPr="006F2119">
        <w:rPr>
          <w:b/>
          <w:sz w:val="28"/>
          <w:szCs w:val="28"/>
          <w:lang w:eastAsia="en-US"/>
        </w:rPr>
        <w:t xml:space="preserve">Закон </w:t>
      </w:r>
      <w:r w:rsidRPr="006F2119">
        <w:rPr>
          <w:rFonts w:eastAsiaTheme="minorHAnsi"/>
          <w:b/>
          <w:sz w:val="28"/>
          <w:szCs w:val="28"/>
        </w:rPr>
        <w:t xml:space="preserve"> Приднестровской</w:t>
      </w:r>
      <w:proofErr w:type="gramEnd"/>
      <w:r w:rsidRPr="006F2119">
        <w:rPr>
          <w:rFonts w:eastAsiaTheme="minorHAnsi"/>
          <w:b/>
          <w:sz w:val="28"/>
          <w:szCs w:val="28"/>
        </w:rPr>
        <w:t xml:space="preserve"> Молдавской Республике </w:t>
      </w:r>
      <w:r w:rsidRPr="006F2119">
        <w:rPr>
          <w:rFonts w:eastAsiaTheme="minorHAnsi"/>
          <w:b/>
          <w:sz w:val="28"/>
          <w:szCs w:val="28"/>
          <w:lang w:eastAsia="en-US"/>
        </w:rPr>
        <w:t>«Об информации, информационных технологиях и о защите информации»</w:t>
      </w:r>
    </w:p>
    <w:p w:rsidR="006F2119" w:rsidRPr="006F2119" w:rsidRDefault="006F2119" w:rsidP="006F2119">
      <w:pPr>
        <w:jc w:val="center"/>
        <w:rPr>
          <w:rFonts w:ascii="Arial" w:hAnsi="Arial" w:cs="Arial"/>
          <w:sz w:val="28"/>
          <w:szCs w:val="28"/>
        </w:rPr>
      </w:pPr>
    </w:p>
    <w:tbl>
      <w:tblPr>
        <w:tblStyle w:val="ad"/>
        <w:tblW w:w="0" w:type="auto"/>
        <w:tblLook w:val="04A0" w:firstRow="1" w:lastRow="0" w:firstColumn="1" w:lastColumn="0" w:noHBand="0" w:noVBand="1"/>
      </w:tblPr>
      <w:tblGrid>
        <w:gridCol w:w="562"/>
        <w:gridCol w:w="3828"/>
        <w:gridCol w:w="4394"/>
      </w:tblGrid>
      <w:tr w:rsidR="006F2119" w:rsidRPr="006F2119" w:rsidTr="00D350C3">
        <w:tc>
          <w:tcPr>
            <w:tcW w:w="562" w:type="dxa"/>
          </w:tcPr>
          <w:p w:rsidR="006F2119" w:rsidRPr="006F2119" w:rsidRDefault="006F2119" w:rsidP="006F2119">
            <w:pPr>
              <w:rPr>
                <w:rFonts w:eastAsiaTheme="minorHAnsi"/>
                <w:sz w:val="28"/>
                <w:szCs w:val="28"/>
                <w:lang w:eastAsia="en-US"/>
              </w:rPr>
            </w:pPr>
          </w:p>
        </w:tc>
        <w:tc>
          <w:tcPr>
            <w:tcW w:w="3828" w:type="dxa"/>
          </w:tcPr>
          <w:p w:rsidR="006F2119" w:rsidRPr="006F2119" w:rsidRDefault="006F2119" w:rsidP="006F2119">
            <w:pPr>
              <w:rPr>
                <w:rFonts w:eastAsiaTheme="minorHAnsi"/>
                <w:b/>
                <w:sz w:val="28"/>
                <w:szCs w:val="28"/>
                <w:lang w:eastAsia="en-US"/>
              </w:rPr>
            </w:pPr>
            <w:r w:rsidRPr="006F2119">
              <w:rPr>
                <w:rFonts w:eastAsiaTheme="minorHAnsi"/>
                <w:b/>
                <w:sz w:val="28"/>
                <w:szCs w:val="28"/>
                <w:lang w:eastAsia="en-US"/>
              </w:rPr>
              <w:t>Действующая редакция</w:t>
            </w:r>
            <w:r w:rsidRPr="006F2119">
              <w:rPr>
                <w:rFonts w:eastAsiaTheme="minorHAnsi"/>
                <w:b/>
                <w:sz w:val="28"/>
                <w:szCs w:val="28"/>
                <w:lang w:eastAsia="en-US"/>
              </w:rPr>
              <w:tab/>
            </w:r>
          </w:p>
        </w:tc>
        <w:tc>
          <w:tcPr>
            <w:tcW w:w="4394" w:type="dxa"/>
          </w:tcPr>
          <w:p w:rsidR="006F2119" w:rsidRPr="006F2119" w:rsidRDefault="006F2119" w:rsidP="006F2119">
            <w:pPr>
              <w:rPr>
                <w:rFonts w:eastAsiaTheme="minorHAnsi"/>
                <w:b/>
                <w:sz w:val="28"/>
                <w:szCs w:val="28"/>
                <w:lang w:eastAsia="en-US"/>
              </w:rPr>
            </w:pPr>
            <w:r w:rsidRPr="006F2119">
              <w:rPr>
                <w:rFonts w:eastAsiaTheme="minorHAnsi"/>
                <w:b/>
                <w:sz w:val="28"/>
                <w:szCs w:val="28"/>
                <w:lang w:eastAsia="en-US"/>
              </w:rPr>
              <w:t>Предлагаемая редакция</w:t>
            </w:r>
          </w:p>
        </w:tc>
      </w:tr>
      <w:tr w:rsidR="006F2119" w:rsidRPr="006F2119" w:rsidTr="00D350C3">
        <w:tc>
          <w:tcPr>
            <w:tcW w:w="562" w:type="dxa"/>
          </w:tcPr>
          <w:p w:rsidR="006F2119" w:rsidRPr="006F2119" w:rsidRDefault="006F2119" w:rsidP="006F2119">
            <w:pPr>
              <w:rPr>
                <w:rFonts w:asciiTheme="minorHAnsi" w:eastAsiaTheme="minorHAnsi" w:hAnsiTheme="minorHAnsi" w:cstheme="minorBidi"/>
                <w:sz w:val="22"/>
                <w:szCs w:val="22"/>
                <w:lang w:eastAsia="en-US"/>
              </w:rPr>
            </w:pPr>
          </w:p>
        </w:tc>
        <w:tc>
          <w:tcPr>
            <w:tcW w:w="3828" w:type="dxa"/>
          </w:tcPr>
          <w:p w:rsidR="006F2119" w:rsidRPr="006F2119" w:rsidRDefault="006F2119" w:rsidP="006F2119">
            <w:pPr>
              <w:widowControl w:val="0"/>
              <w:autoSpaceDE w:val="0"/>
              <w:autoSpaceDN w:val="0"/>
              <w:adjustRightInd w:val="0"/>
              <w:ind w:firstLine="708"/>
              <w:jc w:val="both"/>
              <w:rPr>
                <w:bCs/>
                <w:sz w:val="28"/>
                <w:szCs w:val="28"/>
              </w:rPr>
            </w:pPr>
            <w:r w:rsidRPr="006F2119">
              <w:rPr>
                <w:b/>
                <w:bCs/>
                <w:sz w:val="28"/>
                <w:szCs w:val="28"/>
              </w:rPr>
              <w:t>Статья 14-1.</w:t>
            </w:r>
            <w:r w:rsidRPr="006F2119">
              <w:rPr>
                <w:bCs/>
                <w:sz w:val="28"/>
                <w:szCs w:val="28"/>
              </w:rPr>
              <w:t xml:space="preserve"> Единый реестр доменных имен, разделов </w:t>
            </w:r>
            <w:proofErr w:type="gramStart"/>
            <w:r w:rsidRPr="006F2119">
              <w:rPr>
                <w:bCs/>
                <w:sz w:val="28"/>
                <w:szCs w:val="28"/>
              </w:rPr>
              <w:t xml:space="preserve">сайтов,   </w:t>
            </w:r>
            <w:proofErr w:type="gramEnd"/>
            <w:r w:rsidRPr="006F2119">
              <w:rPr>
                <w:bCs/>
                <w:sz w:val="28"/>
                <w:szCs w:val="28"/>
              </w:rPr>
              <w:t xml:space="preserve">                    указателей страниц сайтов в глобальной сети Интернет,                         позволяющих идентифицировать сайты в глобальной сети Интернет, содержащие информацию,                         распространение которой                         в Приднестровской Молдавской Республике запрещено</w:t>
            </w:r>
          </w:p>
          <w:p w:rsidR="006F2119" w:rsidRPr="006F2119" w:rsidRDefault="006F2119" w:rsidP="006F2119">
            <w:pPr>
              <w:widowControl w:val="0"/>
              <w:autoSpaceDE w:val="0"/>
              <w:autoSpaceDN w:val="0"/>
              <w:adjustRightInd w:val="0"/>
              <w:ind w:firstLine="708"/>
              <w:jc w:val="both"/>
              <w:rPr>
                <w:bCs/>
                <w:sz w:val="28"/>
                <w:szCs w:val="28"/>
              </w:rPr>
            </w:pPr>
            <w:r w:rsidRPr="006F2119">
              <w:rPr>
                <w:bCs/>
                <w:sz w:val="28"/>
                <w:szCs w:val="28"/>
              </w:rPr>
              <w:t>…</w:t>
            </w:r>
          </w:p>
          <w:p w:rsidR="006F2119" w:rsidRPr="006F2119" w:rsidRDefault="006F2119" w:rsidP="006F2119">
            <w:pPr>
              <w:widowControl w:val="0"/>
              <w:autoSpaceDE w:val="0"/>
              <w:autoSpaceDN w:val="0"/>
              <w:adjustRightInd w:val="0"/>
              <w:ind w:firstLine="708"/>
              <w:jc w:val="both"/>
              <w:rPr>
                <w:sz w:val="28"/>
                <w:szCs w:val="28"/>
              </w:rPr>
            </w:pPr>
            <w:r w:rsidRPr="006F2119">
              <w:rPr>
                <w:sz w:val="28"/>
                <w:szCs w:val="28"/>
              </w:rPr>
              <w:t xml:space="preserve">4. Основаниями для включения в реестр сведений, указанных </w:t>
            </w:r>
            <w:r w:rsidRPr="006F2119">
              <w:rPr>
                <w:sz w:val="28"/>
                <w:szCs w:val="28"/>
              </w:rPr>
              <w:br/>
              <w:t>в пункте 2 настоящей статьи, являются:</w:t>
            </w:r>
          </w:p>
          <w:p w:rsidR="006F2119" w:rsidRPr="006F2119" w:rsidRDefault="006F2119" w:rsidP="006F2119">
            <w:pPr>
              <w:widowControl w:val="0"/>
              <w:autoSpaceDE w:val="0"/>
              <w:autoSpaceDN w:val="0"/>
              <w:adjustRightInd w:val="0"/>
              <w:ind w:firstLine="708"/>
              <w:jc w:val="both"/>
              <w:rPr>
                <w:sz w:val="28"/>
                <w:szCs w:val="28"/>
              </w:rPr>
            </w:pPr>
            <w:r w:rsidRPr="006F2119">
              <w:rPr>
                <w:sz w:val="28"/>
                <w:szCs w:val="28"/>
              </w:rPr>
              <w:t>а) решение уполномоченного Правительством Приднестровской Молдавской Республики или</w:t>
            </w:r>
            <w:r w:rsidRPr="006F2119">
              <w:rPr>
                <w:bCs/>
                <w:sz w:val="28"/>
                <w:szCs w:val="28"/>
              </w:rPr>
              <w:t xml:space="preserve"> </w:t>
            </w:r>
            <w:r w:rsidRPr="006F2119">
              <w:rPr>
                <w:sz w:val="28"/>
                <w:szCs w:val="28"/>
              </w:rPr>
              <w:t xml:space="preserve">Президентом </w:t>
            </w:r>
            <w:r w:rsidRPr="006F2119">
              <w:rPr>
                <w:bCs/>
                <w:sz w:val="28"/>
                <w:szCs w:val="28"/>
              </w:rPr>
              <w:t>Приднестровской Молдавской Республике</w:t>
            </w:r>
            <w:r w:rsidRPr="006F2119">
              <w:rPr>
                <w:sz w:val="28"/>
                <w:szCs w:val="28"/>
              </w:rPr>
              <w:t xml:space="preserve"> исполнительного органа государственной власти Приднестровской Молдавской Республики, принятое в соответствии с его компетенцией в порядке, установленном Правительством </w:t>
            </w:r>
            <w:r w:rsidRPr="006F2119">
              <w:rPr>
                <w:bCs/>
                <w:sz w:val="28"/>
                <w:szCs w:val="28"/>
              </w:rPr>
              <w:t>Приднестровской Молдавской Республики</w:t>
            </w:r>
            <w:r w:rsidRPr="006F2119">
              <w:rPr>
                <w:sz w:val="28"/>
                <w:szCs w:val="28"/>
              </w:rPr>
              <w:t>, в отношении распространяемых посредством глобальной сети Интернет:</w:t>
            </w:r>
          </w:p>
          <w:p w:rsidR="006F2119" w:rsidRPr="006F2119" w:rsidRDefault="006F2119" w:rsidP="006F2119">
            <w:pPr>
              <w:ind w:firstLine="709"/>
              <w:jc w:val="both"/>
              <w:outlineLvl w:val="0"/>
              <w:rPr>
                <w:rFonts w:eastAsia="Calibri"/>
                <w:bCs/>
                <w:kern w:val="36"/>
                <w:sz w:val="28"/>
                <w:szCs w:val="28"/>
              </w:rPr>
            </w:pPr>
            <w:r w:rsidRPr="006F2119">
              <w:rPr>
                <w:rFonts w:eastAsia="Calibri"/>
                <w:bCs/>
                <w:kern w:val="36"/>
                <w:sz w:val="28"/>
                <w:szCs w:val="28"/>
              </w:rPr>
              <w:t>…</w:t>
            </w:r>
          </w:p>
          <w:p w:rsidR="006F2119" w:rsidRPr="006F2119" w:rsidRDefault="006F2119" w:rsidP="006F2119">
            <w:pPr>
              <w:ind w:firstLine="709"/>
              <w:jc w:val="center"/>
              <w:outlineLvl w:val="0"/>
              <w:rPr>
                <w:rFonts w:eastAsia="Calibri"/>
                <w:bCs/>
                <w:kern w:val="36"/>
                <w:sz w:val="28"/>
                <w:szCs w:val="28"/>
              </w:rPr>
            </w:pPr>
            <w:r w:rsidRPr="006F2119">
              <w:rPr>
                <w:rFonts w:eastAsia="Calibri"/>
                <w:b/>
                <w:bCs/>
                <w:kern w:val="36"/>
                <w:sz w:val="28"/>
                <w:szCs w:val="28"/>
              </w:rPr>
              <w:lastRenderedPageBreak/>
              <w:t>Подпункт 8 пункта а) пункта 4 отсутствует.</w:t>
            </w:r>
          </w:p>
        </w:tc>
        <w:tc>
          <w:tcPr>
            <w:tcW w:w="4394" w:type="dxa"/>
          </w:tcPr>
          <w:p w:rsidR="006F2119" w:rsidRPr="006F2119" w:rsidRDefault="006F2119" w:rsidP="006F2119">
            <w:pPr>
              <w:widowControl w:val="0"/>
              <w:autoSpaceDE w:val="0"/>
              <w:autoSpaceDN w:val="0"/>
              <w:adjustRightInd w:val="0"/>
              <w:ind w:firstLine="708"/>
              <w:jc w:val="both"/>
              <w:rPr>
                <w:bCs/>
                <w:sz w:val="28"/>
                <w:szCs w:val="28"/>
              </w:rPr>
            </w:pPr>
            <w:r w:rsidRPr="006F2119">
              <w:rPr>
                <w:b/>
                <w:bCs/>
                <w:sz w:val="28"/>
                <w:szCs w:val="28"/>
              </w:rPr>
              <w:lastRenderedPageBreak/>
              <w:t>Статья 14-1.</w:t>
            </w:r>
            <w:r w:rsidRPr="006F2119">
              <w:rPr>
                <w:bCs/>
                <w:sz w:val="28"/>
                <w:szCs w:val="28"/>
              </w:rPr>
              <w:t xml:space="preserve"> Единый реестр доменных имен, разделов </w:t>
            </w:r>
            <w:proofErr w:type="gramStart"/>
            <w:r w:rsidRPr="006F2119">
              <w:rPr>
                <w:bCs/>
                <w:sz w:val="28"/>
                <w:szCs w:val="28"/>
              </w:rPr>
              <w:t xml:space="preserve">сайтов,   </w:t>
            </w:r>
            <w:proofErr w:type="gramEnd"/>
            <w:r w:rsidRPr="006F2119">
              <w:rPr>
                <w:bCs/>
                <w:sz w:val="28"/>
                <w:szCs w:val="28"/>
              </w:rPr>
              <w:t xml:space="preserve">                    указателей страниц сайтов в глобальной сети Интернет,                         позволяющих идентифицировать сайты в глобальной сети Интернет, содержащие информацию,                         распространение которой                         в Приднестровской Молдавской Республике запрещено</w:t>
            </w:r>
          </w:p>
          <w:p w:rsidR="006F2119" w:rsidRPr="006F2119" w:rsidRDefault="006F2119" w:rsidP="006F2119">
            <w:pPr>
              <w:widowControl w:val="0"/>
              <w:autoSpaceDE w:val="0"/>
              <w:autoSpaceDN w:val="0"/>
              <w:adjustRightInd w:val="0"/>
              <w:ind w:firstLine="708"/>
              <w:jc w:val="both"/>
              <w:rPr>
                <w:bCs/>
                <w:sz w:val="28"/>
                <w:szCs w:val="28"/>
              </w:rPr>
            </w:pPr>
            <w:r w:rsidRPr="006F2119">
              <w:rPr>
                <w:bCs/>
                <w:sz w:val="28"/>
                <w:szCs w:val="28"/>
              </w:rPr>
              <w:t>…</w:t>
            </w:r>
          </w:p>
          <w:p w:rsidR="006F2119" w:rsidRPr="006F2119" w:rsidRDefault="006F2119" w:rsidP="006F2119">
            <w:pPr>
              <w:widowControl w:val="0"/>
              <w:autoSpaceDE w:val="0"/>
              <w:autoSpaceDN w:val="0"/>
              <w:adjustRightInd w:val="0"/>
              <w:ind w:firstLine="708"/>
              <w:jc w:val="both"/>
              <w:rPr>
                <w:sz w:val="28"/>
                <w:szCs w:val="28"/>
              </w:rPr>
            </w:pPr>
            <w:r w:rsidRPr="006F2119">
              <w:rPr>
                <w:sz w:val="28"/>
                <w:szCs w:val="28"/>
              </w:rPr>
              <w:t xml:space="preserve">4. Основаниями для включения в реестр сведений, указанных </w:t>
            </w:r>
            <w:r w:rsidRPr="006F2119">
              <w:rPr>
                <w:sz w:val="28"/>
                <w:szCs w:val="28"/>
              </w:rPr>
              <w:br/>
              <w:t>в пункте 2 настоящей статьи, являются:</w:t>
            </w:r>
          </w:p>
          <w:p w:rsidR="006F2119" w:rsidRPr="006F2119" w:rsidRDefault="006F2119" w:rsidP="006F2119">
            <w:pPr>
              <w:widowControl w:val="0"/>
              <w:autoSpaceDE w:val="0"/>
              <w:autoSpaceDN w:val="0"/>
              <w:adjustRightInd w:val="0"/>
              <w:ind w:firstLine="708"/>
              <w:jc w:val="both"/>
              <w:rPr>
                <w:sz w:val="28"/>
                <w:szCs w:val="28"/>
              </w:rPr>
            </w:pPr>
            <w:r w:rsidRPr="006F2119">
              <w:rPr>
                <w:sz w:val="28"/>
                <w:szCs w:val="28"/>
              </w:rPr>
              <w:t>а) решение уполномоченного Правительством Приднестровской Молдавской Республики или</w:t>
            </w:r>
            <w:r w:rsidRPr="006F2119">
              <w:rPr>
                <w:bCs/>
                <w:sz w:val="28"/>
                <w:szCs w:val="28"/>
              </w:rPr>
              <w:t xml:space="preserve"> </w:t>
            </w:r>
            <w:r w:rsidRPr="006F2119">
              <w:rPr>
                <w:sz w:val="28"/>
                <w:szCs w:val="28"/>
              </w:rPr>
              <w:t xml:space="preserve">Президентом </w:t>
            </w:r>
            <w:r w:rsidRPr="006F2119">
              <w:rPr>
                <w:bCs/>
                <w:sz w:val="28"/>
                <w:szCs w:val="28"/>
              </w:rPr>
              <w:t>Приднестровской Молдавской Республике</w:t>
            </w:r>
            <w:r w:rsidRPr="006F2119">
              <w:rPr>
                <w:sz w:val="28"/>
                <w:szCs w:val="28"/>
              </w:rPr>
              <w:t xml:space="preserve"> исполнительного органа государственной власти Приднестровской Молдавской Республики, принятое в соответствии с его компетенцией в порядке, установленном Правительством </w:t>
            </w:r>
            <w:r w:rsidRPr="006F2119">
              <w:rPr>
                <w:bCs/>
                <w:sz w:val="28"/>
                <w:szCs w:val="28"/>
              </w:rPr>
              <w:t>Приднестровской Молдавской Республики</w:t>
            </w:r>
            <w:r w:rsidRPr="006F2119">
              <w:rPr>
                <w:sz w:val="28"/>
                <w:szCs w:val="28"/>
              </w:rPr>
              <w:t>, в отношении распространяемых посредством глобальной сети Интернет:</w:t>
            </w:r>
          </w:p>
          <w:p w:rsidR="006F2119" w:rsidRPr="006F2119" w:rsidRDefault="006F2119" w:rsidP="006F2119">
            <w:pPr>
              <w:ind w:firstLine="709"/>
              <w:jc w:val="both"/>
              <w:outlineLvl w:val="0"/>
              <w:rPr>
                <w:rFonts w:eastAsia="Calibri"/>
                <w:bCs/>
                <w:kern w:val="36"/>
                <w:sz w:val="28"/>
                <w:szCs w:val="28"/>
              </w:rPr>
            </w:pPr>
            <w:r w:rsidRPr="006F2119">
              <w:rPr>
                <w:rFonts w:eastAsia="Calibri"/>
                <w:bCs/>
                <w:kern w:val="36"/>
                <w:sz w:val="28"/>
                <w:szCs w:val="28"/>
              </w:rPr>
              <w:t>…</w:t>
            </w:r>
          </w:p>
          <w:p w:rsidR="006F2119" w:rsidRPr="006F2119" w:rsidRDefault="006F2119" w:rsidP="006F2119">
            <w:pPr>
              <w:ind w:firstLine="465"/>
              <w:jc w:val="both"/>
              <w:rPr>
                <w:rFonts w:eastAsiaTheme="minorHAnsi"/>
                <w:sz w:val="28"/>
                <w:szCs w:val="28"/>
                <w:lang w:eastAsia="en-US"/>
              </w:rPr>
            </w:pPr>
          </w:p>
          <w:p w:rsidR="006F2119" w:rsidRPr="006F2119" w:rsidRDefault="006F2119" w:rsidP="006F2119">
            <w:pPr>
              <w:ind w:firstLine="465"/>
              <w:jc w:val="both"/>
              <w:rPr>
                <w:rFonts w:eastAsiaTheme="minorHAnsi"/>
                <w:b/>
                <w:sz w:val="28"/>
                <w:szCs w:val="28"/>
                <w:lang w:eastAsia="en-US"/>
              </w:rPr>
            </w:pPr>
            <w:r w:rsidRPr="006F2119">
              <w:rPr>
                <w:rFonts w:eastAsiaTheme="minorHAnsi"/>
                <w:b/>
                <w:color w:val="000000"/>
                <w:sz w:val="28"/>
                <w:szCs w:val="28"/>
                <w:shd w:val="clear" w:color="auto" w:fill="FFFFFF"/>
                <w:lang w:eastAsia="en-US"/>
              </w:rPr>
              <w:t>8) </w:t>
            </w:r>
            <w:hyperlink r:id="rId8" w:anchor="dst100016" w:history="1">
              <w:r w:rsidRPr="006F2119">
                <w:rPr>
                  <w:rFonts w:eastAsiaTheme="minorHAnsi"/>
                  <w:b/>
                  <w:color w:val="000000" w:themeColor="text1"/>
                  <w:sz w:val="28"/>
                  <w:szCs w:val="28"/>
                  <w:shd w:val="clear" w:color="auto" w:fill="FFFFFF"/>
                  <w:lang w:eastAsia="en-US"/>
                </w:rPr>
                <w:t>информации</w:t>
              </w:r>
            </w:hyperlink>
            <w:r w:rsidRPr="006F2119">
              <w:rPr>
                <w:rFonts w:eastAsiaTheme="minorHAnsi"/>
                <w:b/>
                <w:color w:val="000000"/>
                <w:sz w:val="28"/>
                <w:szCs w:val="28"/>
                <w:shd w:val="clear" w:color="auto" w:fill="FFFFFF"/>
                <w:lang w:eastAsia="en-US"/>
              </w:rPr>
              <w:t xml:space="preserve">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w:t>
            </w:r>
            <w:r w:rsidRPr="006F2119">
              <w:rPr>
                <w:rFonts w:eastAsiaTheme="minorHAnsi"/>
                <w:b/>
                <w:color w:val="000000"/>
                <w:sz w:val="28"/>
                <w:szCs w:val="28"/>
                <w:shd w:val="clear" w:color="auto" w:fill="FFFFFF"/>
                <w:lang w:eastAsia="en-US"/>
              </w:rPr>
              <w:lastRenderedPageBreak/>
              <w:t xml:space="preserve">боеприпасов, за исключением информации о способах, методах самостоятельного снаряжения патронов к </w:t>
            </w:r>
            <w:r w:rsidRPr="006F2119">
              <w:rPr>
                <w:rFonts w:eastAsiaTheme="minorHAnsi"/>
                <w:b/>
                <w:sz w:val="28"/>
                <w:szCs w:val="28"/>
                <w:lang w:eastAsia="en-US"/>
              </w:rPr>
              <w:t>гражданскому гладкоствольному охотничьему оружию</w:t>
            </w:r>
            <w:r w:rsidRPr="006F2119">
              <w:rPr>
                <w:rFonts w:asciiTheme="minorHAnsi" w:eastAsiaTheme="minorHAnsi" w:hAnsiTheme="minorHAnsi" w:cstheme="minorBidi"/>
                <w:b/>
                <w:color w:val="000000"/>
                <w:sz w:val="30"/>
                <w:szCs w:val="30"/>
                <w:shd w:val="clear" w:color="auto" w:fill="FFFFFF"/>
                <w:lang w:eastAsia="en-US"/>
              </w:rPr>
              <w:t>;</w:t>
            </w:r>
          </w:p>
        </w:tc>
      </w:tr>
    </w:tbl>
    <w:p w:rsidR="003D28E8" w:rsidRPr="00F73B9E" w:rsidRDefault="003D28E8" w:rsidP="00F73B9E">
      <w:bookmarkStart w:id="0" w:name="_GoBack"/>
      <w:bookmarkEnd w:id="0"/>
    </w:p>
    <w:sectPr w:rsidR="003D28E8" w:rsidRPr="00F73B9E" w:rsidSect="00DC5E69">
      <w:headerReference w:type="default" r:id="rId9"/>
      <w:pgSz w:w="11906" w:h="16838" w:code="9"/>
      <w:pgMar w:top="567" w:right="567" w:bottom="709"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744" w:rsidRDefault="00236744">
      <w:r>
        <w:separator/>
      </w:r>
    </w:p>
  </w:endnote>
  <w:endnote w:type="continuationSeparator" w:id="0">
    <w:p w:rsidR="00236744" w:rsidRDefault="0023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744" w:rsidRDefault="00236744">
      <w:r>
        <w:separator/>
      </w:r>
    </w:p>
  </w:footnote>
  <w:footnote w:type="continuationSeparator" w:id="0">
    <w:p w:rsidR="00236744" w:rsidRDefault="00236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6F2119">
          <w:rPr>
            <w:noProof/>
          </w:rPr>
          <w:t>- 2 -</w:t>
        </w:r>
        <w:r>
          <w:fldChar w:fldCharType="end"/>
        </w:r>
      </w:p>
    </w:sdtContent>
  </w:sdt>
  <w:p w:rsidR="004954C8" w:rsidRDefault="0023674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3"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5"/>
  </w:num>
  <w:num w:numId="3">
    <w:abstractNumId w:val="11"/>
  </w:num>
  <w:num w:numId="4">
    <w:abstractNumId w:val="6"/>
  </w:num>
  <w:num w:numId="5">
    <w:abstractNumId w:val="4"/>
  </w:num>
  <w:num w:numId="6">
    <w:abstractNumId w:val="0"/>
  </w:num>
  <w:num w:numId="7">
    <w:abstractNumId w:val="10"/>
  </w:num>
  <w:num w:numId="8">
    <w:abstractNumId w:val="9"/>
  </w:num>
  <w:num w:numId="9">
    <w:abstractNumId w:val="8"/>
  </w:num>
  <w:num w:numId="10">
    <w:abstractNumId w:val="16"/>
  </w:num>
  <w:num w:numId="11">
    <w:abstractNumId w:val="7"/>
  </w:num>
  <w:num w:numId="12">
    <w:abstractNumId w:val="2"/>
  </w:num>
  <w:num w:numId="13">
    <w:abstractNumId w:val="14"/>
  </w:num>
  <w:num w:numId="14">
    <w:abstractNumId w:val="1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81A"/>
    <w:rsid w:val="001D3F15"/>
    <w:rsid w:val="001E02BB"/>
    <w:rsid w:val="001E1DE8"/>
    <w:rsid w:val="001E2081"/>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44"/>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7872"/>
    <w:rsid w:val="00563BEC"/>
    <w:rsid w:val="00565476"/>
    <w:rsid w:val="00566ADD"/>
    <w:rsid w:val="00571189"/>
    <w:rsid w:val="005779E9"/>
    <w:rsid w:val="005804FF"/>
    <w:rsid w:val="005833C1"/>
    <w:rsid w:val="00583CE2"/>
    <w:rsid w:val="00586131"/>
    <w:rsid w:val="00587F84"/>
    <w:rsid w:val="00594916"/>
    <w:rsid w:val="005960EA"/>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2119"/>
    <w:rsid w:val="006F3310"/>
    <w:rsid w:val="006F3926"/>
    <w:rsid w:val="006F5D38"/>
    <w:rsid w:val="007053CE"/>
    <w:rsid w:val="00711F83"/>
    <w:rsid w:val="00712719"/>
    <w:rsid w:val="00715AE3"/>
    <w:rsid w:val="00716F51"/>
    <w:rsid w:val="00717915"/>
    <w:rsid w:val="00721313"/>
    <w:rsid w:val="00726174"/>
    <w:rsid w:val="00730A5A"/>
    <w:rsid w:val="00731B31"/>
    <w:rsid w:val="00732020"/>
    <w:rsid w:val="0073222C"/>
    <w:rsid w:val="00735734"/>
    <w:rsid w:val="00736A11"/>
    <w:rsid w:val="00736BC7"/>
    <w:rsid w:val="00747437"/>
    <w:rsid w:val="00750834"/>
    <w:rsid w:val="00754810"/>
    <w:rsid w:val="00755ED7"/>
    <w:rsid w:val="007572E6"/>
    <w:rsid w:val="007600DB"/>
    <w:rsid w:val="00770A80"/>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25A6"/>
    <w:rsid w:val="0090625D"/>
    <w:rsid w:val="00911B38"/>
    <w:rsid w:val="00913AD8"/>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43D2E"/>
    <w:rsid w:val="00B442AF"/>
    <w:rsid w:val="00B51471"/>
    <w:rsid w:val="00B55934"/>
    <w:rsid w:val="00B6096C"/>
    <w:rsid w:val="00B62A90"/>
    <w:rsid w:val="00B6631D"/>
    <w:rsid w:val="00B72BEA"/>
    <w:rsid w:val="00B731CB"/>
    <w:rsid w:val="00B7339E"/>
    <w:rsid w:val="00B81F49"/>
    <w:rsid w:val="00B82DF0"/>
    <w:rsid w:val="00B83B35"/>
    <w:rsid w:val="00B85A7A"/>
    <w:rsid w:val="00B94755"/>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94CD8"/>
    <w:rsid w:val="00DA0B4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3B9E"/>
    <w:rsid w:val="00F76EB9"/>
    <w:rsid w:val="00F8178A"/>
    <w:rsid w:val="00F830D9"/>
    <w:rsid w:val="00F842EE"/>
    <w:rsid w:val="00F844F5"/>
    <w:rsid w:val="00FA2C07"/>
    <w:rsid w:val="00FA68C5"/>
    <w:rsid w:val="00FB1B2D"/>
    <w:rsid w:val="00FB653D"/>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BA4E"/>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1116/c6a00c0e3b54398593ab484c7cdf96e5b4cc5cf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827BE-E3BB-472C-ADDA-9FFDDB28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381</Words>
  <Characters>2177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99</cp:revision>
  <cp:lastPrinted>2026-01-30T06:58:00Z</cp:lastPrinted>
  <dcterms:created xsi:type="dcterms:W3CDTF">2026-02-09T12:39:00Z</dcterms:created>
  <dcterms:modified xsi:type="dcterms:W3CDTF">2026-03-10T14:20:00Z</dcterms:modified>
</cp:coreProperties>
</file>