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1A8" w:rsidRPr="00791ECE" w:rsidRDefault="006111A8" w:rsidP="006111A8">
      <w:pPr>
        <w:jc w:val="center"/>
        <w:rPr>
          <w:szCs w:val="24"/>
        </w:rPr>
      </w:pPr>
      <w:r w:rsidRPr="00791ECE">
        <w:rPr>
          <w:szCs w:val="24"/>
        </w:rPr>
        <w:t>Сравнительная таблица</w:t>
      </w:r>
    </w:p>
    <w:p w:rsidR="006111A8" w:rsidRDefault="006111A8" w:rsidP="006111A8">
      <w:pPr>
        <w:jc w:val="center"/>
        <w:rPr>
          <w:szCs w:val="24"/>
        </w:rPr>
      </w:pPr>
      <w:r w:rsidRPr="00791ECE">
        <w:rPr>
          <w:szCs w:val="24"/>
        </w:rPr>
        <w:t xml:space="preserve">к проекту закона Приднестровской Молдавской Республики </w:t>
      </w:r>
    </w:p>
    <w:p w:rsidR="006111A8" w:rsidRPr="00791ECE" w:rsidRDefault="006111A8" w:rsidP="006111A8">
      <w:pPr>
        <w:jc w:val="center"/>
        <w:rPr>
          <w:szCs w:val="24"/>
        </w:rPr>
      </w:pPr>
      <w:r w:rsidRPr="00791ECE">
        <w:rPr>
          <w:szCs w:val="24"/>
        </w:rPr>
        <w:t xml:space="preserve">«О внесении </w:t>
      </w:r>
      <w:r w:rsidRPr="000F6B20">
        <w:rPr>
          <w:szCs w:val="24"/>
        </w:rPr>
        <w:t>изменения и дополнения в Закон</w:t>
      </w:r>
      <w:r w:rsidRPr="00791ECE">
        <w:rPr>
          <w:szCs w:val="24"/>
        </w:rPr>
        <w:t xml:space="preserve"> Приднестровской Молдавской Республики «Об образовании»</w:t>
      </w:r>
    </w:p>
    <w:p w:rsidR="006111A8" w:rsidRPr="00791ECE" w:rsidRDefault="006111A8" w:rsidP="006111A8">
      <w:pPr>
        <w:rPr>
          <w:szCs w:val="24"/>
        </w:rPr>
      </w:pPr>
    </w:p>
    <w:tbl>
      <w:tblPr>
        <w:tblStyle w:val="ad"/>
        <w:tblW w:w="0" w:type="auto"/>
        <w:tblLook w:val="04A0" w:firstRow="1" w:lastRow="0" w:firstColumn="1" w:lastColumn="0" w:noHBand="0" w:noVBand="1"/>
      </w:tblPr>
      <w:tblGrid>
        <w:gridCol w:w="4667"/>
        <w:gridCol w:w="4677"/>
      </w:tblGrid>
      <w:tr w:rsidR="006111A8" w:rsidRPr="00791ECE" w:rsidTr="00274FF0">
        <w:trPr>
          <w:trHeight w:val="586"/>
        </w:trPr>
        <w:tc>
          <w:tcPr>
            <w:tcW w:w="4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11A8" w:rsidRPr="00791ECE" w:rsidRDefault="006111A8" w:rsidP="00274FF0">
            <w:pPr>
              <w:jc w:val="center"/>
              <w:rPr>
                <w:b/>
                <w:szCs w:val="24"/>
              </w:rPr>
            </w:pPr>
            <w:r w:rsidRPr="00791ECE">
              <w:rPr>
                <w:b/>
                <w:szCs w:val="24"/>
              </w:rPr>
              <w:t>Действующая редакция</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11A8" w:rsidRPr="00791ECE" w:rsidRDefault="006111A8" w:rsidP="00274FF0">
            <w:pPr>
              <w:jc w:val="center"/>
              <w:rPr>
                <w:b/>
                <w:szCs w:val="24"/>
              </w:rPr>
            </w:pPr>
            <w:r w:rsidRPr="00791ECE">
              <w:rPr>
                <w:b/>
                <w:szCs w:val="24"/>
              </w:rPr>
              <w:t>Предлагаемая редакция</w:t>
            </w:r>
          </w:p>
        </w:tc>
      </w:tr>
      <w:tr w:rsidR="006111A8" w:rsidRPr="00791ECE" w:rsidTr="00274FF0">
        <w:tc>
          <w:tcPr>
            <w:tcW w:w="4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1A8" w:rsidRPr="00791ECE" w:rsidRDefault="006111A8" w:rsidP="00274FF0">
            <w:pPr>
              <w:ind w:firstLine="731"/>
              <w:jc w:val="both"/>
              <w:rPr>
                <w:szCs w:val="24"/>
              </w:rPr>
            </w:pPr>
            <w:r w:rsidRPr="00791ECE">
              <w:rPr>
                <w:bCs/>
                <w:szCs w:val="24"/>
              </w:rPr>
              <w:t>Статья 9.</w:t>
            </w:r>
            <w:r w:rsidRPr="00791ECE">
              <w:rPr>
                <w:szCs w:val="24"/>
              </w:rPr>
              <w:t xml:space="preserve"> Образовательные уровни и образовательные программы</w:t>
            </w:r>
          </w:p>
          <w:p w:rsidR="006111A8" w:rsidRPr="00791ECE" w:rsidRDefault="006111A8" w:rsidP="00274FF0">
            <w:pPr>
              <w:ind w:firstLine="731"/>
              <w:jc w:val="both"/>
              <w:rPr>
                <w:szCs w:val="24"/>
              </w:rPr>
            </w:pPr>
            <w:r w:rsidRPr="00791ECE">
              <w:rPr>
                <w:szCs w:val="24"/>
              </w:rPr>
              <w:t>…</w:t>
            </w:r>
          </w:p>
          <w:p w:rsidR="006111A8" w:rsidRPr="000F6B20" w:rsidRDefault="006111A8" w:rsidP="00274FF0">
            <w:pPr>
              <w:ind w:firstLine="731"/>
              <w:jc w:val="both"/>
              <w:rPr>
                <w:szCs w:val="24"/>
              </w:rPr>
            </w:pPr>
            <w:r w:rsidRPr="00791ECE">
              <w:rPr>
                <w:szCs w:val="24"/>
              </w:rPr>
              <w:t xml:space="preserve">5-1. Образовательные программы самостоятельно разрабатываются и утверждаются организацией, осуществляющей образовательную деятельность, если иное не установлено законодательством Приднестровской </w:t>
            </w:r>
            <w:r w:rsidRPr="000F6B20">
              <w:rPr>
                <w:szCs w:val="24"/>
              </w:rPr>
              <w:t>Молдавской Республики.</w:t>
            </w:r>
          </w:p>
          <w:p w:rsidR="006111A8" w:rsidRPr="000F6B20" w:rsidRDefault="006111A8" w:rsidP="00274FF0">
            <w:pPr>
              <w:ind w:firstLine="731"/>
              <w:jc w:val="both"/>
              <w:rPr>
                <w:color w:val="000000" w:themeColor="text1"/>
                <w:szCs w:val="24"/>
              </w:rPr>
            </w:pPr>
            <w:r w:rsidRPr="000F6B20">
              <w:rPr>
                <w:color w:val="000000" w:themeColor="text1"/>
                <w:szCs w:val="24"/>
              </w:rPr>
              <w:t>……</w:t>
            </w:r>
          </w:p>
          <w:p w:rsidR="006111A8" w:rsidRPr="00791ECE" w:rsidRDefault="006111A8" w:rsidP="00274FF0">
            <w:pPr>
              <w:ind w:firstLine="731"/>
              <w:jc w:val="both"/>
              <w:rPr>
                <w:szCs w:val="24"/>
              </w:rPr>
            </w:pPr>
            <w:r w:rsidRPr="000F6B20">
              <w:rPr>
                <w:szCs w:val="24"/>
              </w:rPr>
              <w:t>Отсутствует.</w:t>
            </w:r>
          </w:p>
          <w:p w:rsidR="006111A8" w:rsidRPr="00791ECE" w:rsidRDefault="006111A8" w:rsidP="00274FF0">
            <w:pPr>
              <w:ind w:firstLine="731"/>
              <w:jc w:val="both"/>
              <w:rPr>
                <w:szCs w:val="24"/>
              </w:rPr>
            </w:pPr>
          </w:p>
        </w:tc>
        <w:tc>
          <w:tcPr>
            <w:tcW w:w="4677" w:type="dxa"/>
            <w:tcBorders>
              <w:top w:val="single" w:sz="4" w:space="0" w:color="auto"/>
              <w:left w:val="single" w:sz="4" w:space="0" w:color="auto"/>
              <w:bottom w:val="single" w:sz="4" w:space="0" w:color="auto"/>
              <w:right w:val="single" w:sz="4" w:space="0" w:color="auto"/>
            </w:tcBorders>
            <w:hideMark/>
          </w:tcPr>
          <w:p w:rsidR="006111A8" w:rsidRPr="00791ECE" w:rsidRDefault="006111A8" w:rsidP="00274FF0">
            <w:pPr>
              <w:ind w:firstLine="745"/>
              <w:jc w:val="both"/>
              <w:rPr>
                <w:szCs w:val="24"/>
              </w:rPr>
            </w:pPr>
            <w:r w:rsidRPr="00791ECE">
              <w:rPr>
                <w:bCs/>
                <w:szCs w:val="24"/>
              </w:rPr>
              <w:t>Статья 9.</w:t>
            </w:r>
            <w:r w:rsidRPr="00791ECE">
              <w:rPr>
                <w:szCs w:val="24"/>
              </w:rPr>
              <w:t xml:space="preserve"> Образовательные уровни и образовательные программы</w:t>
            </w:r>
          </w:p>
          <w:p w:rsidR="006111A8" w:rsidRPr="00791ECE" w:rsidRDefault="006111A8" w:rsidP="00274FF0">
            <w:pPr>
              <w:ind w:firstLine="745"/>
              <w:jc w:val="both"/>
              <w:rPr>
                <w:szCs w:val="24"/>
              </w:rPr>
            </w:pPr>
            <w:r w:rsidRPr="00791ECE">
              <w:rPr>
                <w:szCs w:val="24"/>
              </w:rPr>
              <w:t>…</w:t>
            </w:r>
          </w:p>
          <w:p w:rsidR="006111A8" w:rsidRPr="000F6B20" w:rsidRDefault="006111A8" w:rsidP="00274FF0">
            <w:pPr>
              <w:ind w:firstLine="745"/>
              <w:jc w:val="both"/>
              <w:rPr>
                <w:szCs w:val="24"/>
              </w:rPr>
            </w:pPr>
            <w:r w:rsidRPr="00791ECE">
              <w:rPr>
                <w:szCs w:val="24"/>
              </w:rPr>
              <w:t xml:space="preserve">5-1. Образовательные программы самостоятельно разрабатываются и утверждаются организацией, осуществляющей образовательную деятельность, если иное не установлено законодательством Приднестровской </w:t>
            </w:r>
            <w:r w:rsidRPr="000F6B20">
              <w:rPr>
                <w:szCs w:val="24"/>
              </w:rPr>
              <w:t>Молдавской Республики.</w:t>
            </w:r>
          </w:p>
          <w:p w:rsidR="006111A8" w:rsidRPr="000F6B20" w:rsidRDefault="006111A8" w:rsidP="00274FF0">
            <w:pPr>
              <w:ind w:firstLine="745"/>
              <w:jc w:val="both"/>
              <w:rPr>
                <w:szCs w:val="24"/>
              </w:rPr>
            </w:pPr>
            <w:r w:rsidRPr="000F6B20">
              <w:rPr>
                <w:szCs w:val="24"/>
              </w:rPr>
              <w:t>……</w:t>
            </w:r>
          </w:p>
          <w:p w:rsidR="006111A8" w:rsidRPr="00791ECE" w:rsidRDefault="006111A8" w:rsidP="00274FF0">
            <w:pPr>
              <w:ind w:firstLine="745"/>
              <w:jc w:val="both"/>
              <w:rPr>
                <w:b/>
                <w:bCs/>
                <w:szCs w:val="24"/>
              </w:rPr>
            </w:pPr>
            <w:r w:rsidRPr="000F6B20">
              <w:rPr>
                <w:b/>
                <w:bCs/>
                <w:szCs w:val="24"/>
              </w:rPr>
              <w:t>В случаях, установленных законодательными</w:t>
            </w:r>
            <w:r w:rsidRPr="00791ECE">
              <w:rPr>
                <w:b/>
                <w:bCs/>
                <w:szCs w:val="24"/>
              </w:rPr>
              <w:t xml:space="preserve"> актами Приднестровской Молдавской Республики, исполнительные органы государственной власти разрабатывают и утверждают типовые или примерные основные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основные программы профессионального обучения.</w:t>
            </w:r>
          </w:p>
        </w:tc>
      </w:tr>
      <w:tr w:rsidR="006111A8" w:rsidRPr="00791ECE" w:rsidTr="00274FF0">
        <w:tc>
          <w:tcPr>
            <w:tcW w:w="4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1A8" w:rsidRPr="00791ECE" w:rsidRDefault="006111A8" w:rsidP="00274FF0">
            <w:pPr>
              <w:ind w:firstLine="731"/>
              <w:jc w:val="both"/>
              <w:rPr>
                <w:bCs/>
                <w:szCs w:val="24"/>
              </w:rPr>
            </w:pPr>
            <w:r w:rsidRPr="00791ECE">
              <w:rPr>
                <w:bCs/>
                <w:szCs w:val="24"/>
              </w:rPr>
              <w:t>Статья 21. Организация профессионального обучения</w:t>
            </w:r>
          </w:p>
          <w:p w:rsidR="006111A8" w:rsidRPr="00791ECE" w:rsidRDefault="006111A8" w:rsidP="00274FF0">
            <w:pPr>
              <w:ind w:firstLine="731"/>
              <w:jc w:val="both"/>
              <w:rPr>
                <w:bCs/>
                <w:szCs w:val="24"/>
              </w:rPr>
            </w:pPr>
            <w:r w:rsidRPr="00791ECE">
              <w:rPr>
                <w:bCs/>
                <w:szCs w:val="24"/>
              </w:rPr>
              <w:t>…</w:t>
            </w:r>
          </w:p>
          <w:p w:rsidR="006111A8" w:rsidRPr="00791ECE" w:rsidRDefault="006111A8" w:rsidP="00274FF0">
            <w:pPr>
              <w:ind w:firstLine="731"/>
              <w:jc w:val="both"/>
              <w:rPr>
                <w:bCs/>
                <w:szCs w:val="24"/>
              </w:rPr>
            </w:pPr>
            <w:r w:rsidRPr="00791ECE">
              <w:rPr>
                <w:bCs/>
                <w:szCs w:val="24"/>
              </w:rPr>
              <w:t>9. Примерные основные программы профессионального обучения разрабатываются и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если иное не предусмотрено законодательством Приднестровской Молдавской Республики.</w:t>
            </w:r>
          </w:p>
          <w:p w:rsidR="006111A8" w:rsidRPr="00791ECE" w:rsidRDefault="006111A8" w:rsidP="00274FF0">
            <w:pPr>
              <w:ind w:firstLine="731"/>
              <w:jc w:val="both"/>
              <w:rPr>
                <w:bCs/>
                <w:szCs w:val="24"/>
              </w:rPr>
            </w:pPr>
            <w:r w:rsidRPr="00791ECE">
              <w:rPr>
                <w:bCs/>
                <w:szCs w:val="24"/>
              </w:rPr>
              <w:t>…</w:t>
            </w:r>
          </w:p>
          <w:p w:rsidR="006111A8" w:rsidRPr="00791ECE" w:rsidRDefault="006111A8" w:rsidP="00274FF0">
            <w:pPr>
              <w:ind w:firstLine="731"/>
              <w:jc w:val="both"/>
              <w:rPr>
                <w:bCs/>
                <w:szCs w:val="24"/>
              </w:rPr>
            </w:pPr>
          </w:p>
        </w:tc>
        <w:tc>
          <w:tcPr>
            <w:tcW w:w="4677" w:type="dxa"/>
            <w:tcBorders>
              <w:top w:val="single" w:sz="4" w:space="0" w:color="auto"/>
              <w:left w:val="single" w:sz="4" w:space="0" w:color="auto"/>
              <w:bottom w:val="single" w:sz="4" w:space="0" w:color="auto"/>
              <w:right w:val="single" w:sz="4" w:space="0" w:color="auto"/>
            </w:tcBorders>
            <w:hideMark/>
          </w:tcPr>
          <w:p w:rsidR="006111A8" w:rsidRPr="00791ECE" w:rsidRDefault="006111A8" w:rsidP="00274FF0">
            <w:pPr>
              <w:ind w:firstLine="745"/>
              <w:jc w:val="both"/>
              <w:rPr>
                <w:bCs/>
                <w:szCs w:val="24"/>
              </w:rPr>
            </w:pPr>
            <w:r w:rsidRPr="00791ECE">
              <w:rPr>
                <w:bCs/>
                <w:szCs w:val="24"/>
              </w:rPr>
              <w:t>Статья 21. Организация профессионального обучения</w:t>
            </w:r>
          </w:p>
          <w:p w:rsidR="006111A8" w:rsidRPr="00791ECE" w:rsidRDefault="006111A8" w:rsidP="00274FF0">
            <w:pPr>
              <w:ind w:firstLine="745"/>
              <w:jc w:val="both"/>
              <w:rPr>
                <w:bCs/>
                <w:szCs w:val="24"/>
              </w:rPr>
            </w:pPr>
            <w:r w:rsidRPr="00791ECE">
              <w:rPr>
                <w:bCs/>
                <w:szCs w:val="24"/>
              </w:rPr>
              <w:t>…</w:t>
            </w:r>
          </w:p>
          <w:p w:rsidR="006111A8" w:rsidRPr="00791ECE" w:rsidRDefault="006111A8" w:rsidP="00274FF0">
            <w:pPr>
              <w:ind w:firstLine="745"/>
              <w:jc w:val="both"/>
              <w:rPr>
                <w:b/>
                <w:szCs w:val="24"/>
              </w:rPr>
            </w:pPr>
            <w:r w:rsidRPr="00791ECE">
              <w:rPr>
                <w:b/>
                <w:szCs w:val="24"/>
              </w:rPr>
              <w:t>9. Порядок организации и осуществления образовательной деятельности по основным программам профессионального обучения разрабатывается 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6111A8" w:rsidRPr="00791ECE" w:rsidRDefault="006111A8" w:rsidP="00274FF0">
            <w:pPr>
              <w:ind w:firstLine="745"/>
              <w:jc w:val="both"/>
              <w:rPr>
                <w:bCs/>
                <w:szCs w:val="24"/>
              </w:rPr>
            </w:pPr>
            <w:r w:rsidRPr="00791ECE">
              <w:rPr>
                <w:bCs/>
                <w:szCs w:val="24"/>
              </w:rPr>
              <w:t>…</w:t>
            </w:r>
          </w:p>
        </w:tc>
      </w:tr>
    </w:tbl>
    <w:p w:rsidR="003D28E8" w:rsidRPr="00CB6202" w:rsidRDefault="003D28E8" w:rsidP="00CB6202">
      <w:bookmarkStart w:id="0" w:name="_GoBack"/>
      <w:bookmarkEnd w:id="0"/>
    </w:p>
    <w:sectPr w:rsidR="003D28E8" w:rsidRPr="00CB6202"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CFE" w:rsidRDefault="00CB1CFE">
      <w:r>
        <w:separator/>
      </w:r>
    </w:p>
  </w:endnote>
  <w:endnote w:type="continuationSeparator" w:id="0">
    <w:p w:rsidR="00CB1CFE" w:rsidRDefault="00CB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CFE" w:rsidRDefault="00CB1CFE">
      <w:r>
        <w:separator/>
      </w:r>
    </w:p>
  </w:footnote>
  <w:footnote w:type="continuationSeparator" w:id="0">
    <w:p w:rsidR="00CB1CFE" w:rsidRDefault="00CB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7030C0">
          <w:rPr>
            <w:noProof/>
          </w:rPr>
          <w:t>- 2 -</w:t>
        </w:r>
        <w:r>
          <w:fldChar w:fldCharType="end"/>
        </w:r>
      </w:p>
    </w:sdtContent>
  </w:sdt>
  <w:p w:rsidR="004954C8" w:rsidRDefault="00CB1CF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4"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16"/>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7"/>
  </w:num>
  <w:num w:numId="11">
    <w:abstractNumId w:val="7"/>
  </w:num>
  <w:num w:numId="12">
    <w:abstractNumId w:val="2"/>
  </w:num>
  <w:num w:numId="13">
    <w:abstractNumId w:val="15"/>
  </w:num>
  <w:num w:numId="14">
    <w:abstractNumId w:val="1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6BF"/>
    <w:rsid w:val="009A7AFB"/>
    <w:rsid w:val="009B034F"/>
    <w:rsid w:val="009B2E0D"/>
    <w:rsid w:val="009B32E2"/>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B1CFE"/>
    <w:rsid w:val="00CB6202"/>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3554C"/>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42B3"/>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5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71D5-04BD-4B3E-907E-2A183AAC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111</cp:revision>
  <cp:lastPrinted>2026-01-30T06:58:00Z</cp:lastPrinted>
  <dcterms:created xsi:type="dcterms:W3CDTF">2026-02-09T12:39:00Z</dcterms:created>
  <dcterms:modified xsi:type="dcterms:W3CDTF">2026-03-18T06:48:00Z</dcterms:modified>
</cp:coreProperties>
</file>