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61" w:rsidRPr="00F21F61" w:rsidRDefault="00F21F61" w:rsidP="00F21F61">
      <w:pPr>
        <w:jc w:val="center"/>
        <w:rPr>
          <w:rFonts w:eastAsia="Calibri"/>
          <w:b/>
          <w:szCs w:val="24"/>
          <w:lang w:eastAsia="en-US"/>
        </w:rPr>
      </w:pPr>
      <w:r w:rsidRPr="00F21F61">
        <w:rPr>
          <w:rFonts w:eastAsia="Calibri"/>
          <w:b/>
          <w:szCs w:val="24"/>
          <w:lang w:eastAsia="en-US"/>
        </w:rPr>
        <w:t>Сравнительная таблица</w:t>
      </w:r>
    </w:p>
    <w:p w:rsidR="00F21F61" w:rsidRPr="00F21F61" w:rsidRDefault="00F21F61" w:rsidP="00F21F61">
      <w:pPr>
        <w:jc w:val="center"/>
        <w:rPr>
          <w:rFonts w:eastAsia="Calibri"/>
          <w:b/>
          <w:szCs w:val="24"/>
          <w:lang w:eastAsia="en-US"/>
        </w:rPr>
      </w:pPr>
      <w:r w:rsidRPr="00F21F61">
        <w:rPr>
          <w:rFonts w:eastAsia="Calibri"/>
          <w:b/>
          <w:szCs w:val="24"/>
          <w:lang w:eastAsia="en-US"/>
        </w:rPr>
        <w:t>к проекту закона Приднестровской Молдавской Республики</w:t>
      </w:r>
    </w:p>
    <w:p w:rsidR="00F21F61" w:rsidRPr="00F21F61" w:rsidRDefault="00F21F61" w:rsidP="00F21F61">
      <w:pPr>
        <w:jc w:val="center"/>
        <w:rPr>
          <w:rFonts w:eastAsia="Calibri"/>
          <w:b/>
          <w:szCs w:val="24"/>
          <w:lang w:eastAsia="en-US"/>
        </w:rPr>
      </w:pPr>
      <w:r w:rsidRPr="00F21F61">
        <w:rPr>
          <w:rFonts w:eastAsia="Calibri"/>
          <w:b/>
          <w:szCs w:val="24"/>
          <w:lang w:eastAsia="en-US"/>
        </w:rPr>
        <w:t>«О внесении изменений в Закон Приднестровской Молдавской Республики «О всеобщей воинской обязанности и военной службе»</w:t>
      </w:r>
    </w:p>
    <w:p w:rsidR="00F21F61" w:rsidRPr="00F21F61" w:rsidRDefault="00F21F61" w:rsidP="00F21F61">
      <w:pPr>
        <w:jc w:val="center"/>
        <w:rPr>
          <w:rFonts w:eastAsia="Calibri"/>
          <w:b/>
          <w:szCs w:val="24"/>
          <w:lang w:eastAsia="en-US"/>
        </w:rPr>
      </w:pPr>
    </w:p>
    <w:tbl>
      <w:tblPr>
        <w:tblStyle w:val="6"/>
        <w:tblW w:w="0" w:type="auto"/>
        <w:tblLook w:val="04A0" w:firstRow="1" w:lastRow="0" w:firstColumn="1" w:lastColumn="0" w:noHBand="0" w:noVBand="1"/>
      </w:tblPr>
      <w:tblGrid>
        <w:gridCol w:w="4671"/>
        <w:gridCol w:w="4674"/>
      </w:tblGrid>
      <w:tr w:rsidR="00F21F61" w:rsidRPr="00F21F61"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jc w:val="center"/>
              <w:rPr>
                <w:rFonts w:eastAsia="Calibri"/>
                <w:b/>
                <w:szCs w:val="24"/>
                <w:lang w:eastAsia="en-US"/>
              </w:rPr>
            </w:pPr>
            <w:r w:rsidRPr="00F21F61">
              <w:rPr>
                <w:rFonts w:eastAsia="Calibri"/>
                <w:b/>
                <w:szCs w:val="24"/>
                <w:lang w:eastAsia="en-US"/>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jc w:val="center"/>
              <w:rPr>
                <w:rFonts w:eastAsia="Calibri"/>
                <w:b/>
                <w:szCs w:val="24"/>
                <w:lang w:eastAsia="en-US"/>
              </w:rPr>
            </w:pPr>
            <w:r w:rsidRPr="00F21F61">
              <w:rPr>
                <w:rFonts w:eastAsia="Calibri"/>
                <w:b/>
                <w:szCs w:val="24"/>
                <w:lang w:eastAsia="en-US"/>
              </w:rPr>
              <w:t>предлагаемая редакция</w:t>
            </w:r>
          </w:p>
        </w:tc>
      </w:tr>
      <w:tr w:rsidR="00F21F61" w:rsidRPr="00F21F61"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rPr>
                <w:rFonts w:eastAsiaTheme="minorHAnsi"/>
                <w:sz w:val="28"/>
                <w:szCs w:val="28"/>
                <w:lang w:eastAsia="en-US"/>
              </w:rPr>
            </w:pPr>
            <w:r w:rsidRPr="00F21F61">
              <w:rPr>
                <w:rFonts w:eastAsiaTheme="minorHAnsi"/>
                <w:b/>
                <w:sz w:val="28"/>
                <w:szCs w:val="28"/>
                <w:lang w:eastAsia="en-US"/>
              </w:rPr>
              <w:t xml:space="preserve">Статья 44. </w:t>
            </w:r>
            <w:r w:rsidRPr="00F21F61">
              <w:rPr>
                <w:rFonts w:eastAsiaTheme="minorHAnsi"/>
                <w:sz w:val="28"/>
                <w:szCs w:val="28"/>
                <w:lang w:eastAsia="en-US"/>
              </w:rPr>
              <w:t>Приостановление военной службы</w:t>
            </w:r>
          </w:p>
          <w:p w:rsidR="00F21F61" w:rsidRPr="00F21F61" w:rsidRDefault="00F21F61" w:rsidP="00F21F61">
            <w:pPr>
              <w:rPr>
                <w:rFonts w:eastAsiaTheme="minorHAnsi"/>
                <w:b/>
                <w:bCs/>
                <w:sz w:val="28"/>
                <w:szCs w:val="28"/>
                <w:lang w:eastAsia="en-US"/>
              </w:rPr>
            </w:pPr>
            <w:r w:rsidRPr="00F21F61">
              <w:rPr>
                <w:rFonts w:eastAsiaTheme="minorHAnsi"/>
                <w:bCs/>
                <w:sz w:val="28"/>
                <w:szCs w:val="28"/>
                <w:lang w:eastAsia="en-US"/>
              </w:rPr>
              <w:t xml:space="preserve">1. Военнослужащие, проходящие военную службу по контракту, в случае избрания их депутатами </w:t>
            </w:r>
            <w:r w:rsidRPr="00F21F61">
              <w:rPr>
                <w:rFonts w:eastAsiaTheme="minorHAnsi"/>
                <w:sz w:val="28"/>
                <w:szCs w:val="28"/>
                <w:lang w:eastAsia="en-US"/>
              </w:rPr>
              <w:t xml:space="preserve">Верховного Совета Приднестровской Молдавской Республики, местных Советов народных депутатов, </w:t>
            </w:r>
            <w:r w:rsidRPr="00F21F61">
              <w:rPr>
                <w:rFonts w:eastAsiaTheme="minorHAnsi"/>
                <w:b/>
                <w:bCs/>
                <w:sz w:val="28"/>
                <w:szCs w:val="28"/>
                <w:lang w:eastAsia="en-US"/>
              </w:rPr>
              <w:t>осуществляющими указанные полномочия на постоянной основе</w:t>
            </w:r>
            <w:r w:rsidRPr="00F21F61">
              <w:rPr>
                <w:rFonts w:eastAsiaTheme="minorHAnsi"/>
                <w:bCs/>
                <w:sz w:val="28"/>
                <w:szCs w:val="28"/>
                <w:lang w:eastAsia="en-US"/>
              </w:rPr>
              <w:t xml:space="preserve">, имеют право либо на увольнение с военной службы по основаниям, предусмотренным подпунктом г) пункта 5 статьи 50 настоящего Закона, либо на приостановление военной службы </w:t>
            </w:r>
            <w:r w:rsidRPr="00F21F61">
              <w:rPr>
                <w:rFonts w:eastAsiaTheme="minorHAnsi"/>
                <w:b/>
                <w:bCs/>
                <w:sz w:val="28"/>
                <w:szCs w:val="28"/>
                <w:lang w:eastAsia="en-US"/>
              </w:rPr>
              <w:t xml:space="preserve">с </w:t>
            </w:r>
            <w:r w:rsidRPr="00F21F61">
              <w:rPr>
                <w:rFonts w:eastAsiaTheme="minorHAnsi"/>
                <w:b/>
                <w:sz w:val="28"/>
                <w:szCs w:val="28"/>
                <w:lang w:eastAsia="en-US"/>
              </w:rPr>
              <w:t>зачетом срока приостановления военной службы в выслугу лет военнослужащего</w:t>
            </w:r>
            <w:r w:rsidRPr="00F21F61">
              <w:rPr>
                <w:rFonts w:eastAsiaTheme="minorHAnsi"/>
                <w:b/>
                <w:bCs/>
                <w:sz w:val="28"/>
                <w:szCs w:val="28"/>
                <w:lang w:eastAsia="en-US"/>
              </w:rPr>
              <w:t>.</w:t>
            </w:r>
          </w:p>
          <w:p w:rsidR="00F21F61" w:rsidRPr="00F21F61" w:rsidRDefault="00F21F61" w:rsidP="00F21F61">
            <w:pPr>
              <w:spacing w:line="276" w:lineRule="auto"/>
              <w:rPr>
                <w:rFonts w:eastAsiaTheme="minorHAnsi"/>
                <w:sz w:val="28"/>
                <w:szCs w:val="28"/>
                <w:lang w:eastAsia="en-US"/>
              </w:rPr>
            </w:pPr>
            <w:r w:rsidRPr="00F21F61">
              <w:rPr>
                <w:rFonts w:eastAsiaTheme="minorHAnsi"/>
                <w:sz w:val="28"/>
                <w:szCs w:val="28"/>
                <w:lang w:eastAsia="en-US"/>
              </w:rPr>
              <w:t>…</w:t>
            </w:r>
          </w:p>
        </w:tc>
        <w:tc>
          <w:tcPr>
            <w:tcW w:w="4674"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rPr>
                <w:rFonts w:eastAsiaTheme="minorHAnsi"/>
                <w:sz w:val="28"/>
                <w:szCs w:val="28"/>
                <w:lang w:eastAsia="en-US"/>
              </w:rPr>
            </w:pPr>
            <w:r w:rsidRPr="00F21F61">
              <w:rPr>
                <w:rFonts w:eastAsiaTheme="minorHAnsi"/>
                <w:b/>
                <w:sz w:val="28"/>
                <w:szCs w:val="28"/>
                <w:lang w:eastAsia="en-US"/>
              </w:rPr>
              <w:t xml:space="preserve">Статья 44. </w:t>
            </w:r>
            <w:r w:rsidRPr="00F21F61">
              <w:rPr>
                <w:rFonts w:eastAsiaTheme="minorHAnsi"/>
                <w:sz w:val="28"/>
                <w:szCs w:val="28"/>
                <w:lang w:eastAsia="en-US"/>
              </w:rPr>
              <w:t>Приостановление военной службы</w:t>
            </w:r>
          </w:p>
          <w:p w:rsidR="00F21F61" w:rsidRPr="00F21F61" w:rsidRDefault="00F21F61" w:rsidP="00F21F61">
            <w:pPr>
              <w:rPr>
                <w:rFonts w:eastAsiaTheme="minorHAnsi"/>
                <w:b/>
                <w:bCs/>
                <w:sz w:val="28"/>
                <w:szCs w:val="28"/>
                <w:lang w:eastAsia="en-US"/>
              </w:rPr>
            </w:pPr>
            <w:r w:rsidRPr="00F21F61">
              <w:rPr>
                <w:rFonts w:eastAsiaTheme="minorHAnsi"/>
                <w:bCs/>
                <w:sz w:val="28"/>
                <w:szCs w:val="28"/>
                <w:lang w:eastAsia="en-US"/>
              </w:rPr>
              <w:t xml:space="preserve">1. Военнослужащие, проходящие военную службу по контракту, в случае избрания их депутатами </w:t>
            </w:r>
            <w:r w:rsidRPr="00F21F61">
              <w:rPr>
                <w:rFonts w:eastAsiaTheme="minorHAnsi"/>
                <w:sz w:val="28"/>
                <w:szCs w:val="28"/>
                <w:lang w:eastAsia="en-US"/>
              </w:rPr>
              <w:t>Верховного Совета Приднестровской Молдавской Республики, местных Советов народных депутатов</w:t>
            </w:r>
            <w:r w:rsidRPr="00F21F61">
              <w:rPr>
                <w:rFonts w:eastAsiaTheme="minorHAnsi"/>
                <w:bCs/>
                <w:sz w:val="28"/>
                <w:szCs w:val="28"/>
                <w:lang w:eastAsia="en-US"/>
              </w:rPr>
              <w:t>, имеют право либо на увольнение с военной службы по основаниям, предусмотренным подпунктом г) пункта 5 статьи 50 настоящего Закона, либо на приостановление военной службы</w:t>
            </w:r>
            <w:r w:rsidRPr="00F21F61">
              <w:rPr>
                <w:rFonts w:eastAsiaTheme="minorHAnsi"/>
                <w:b/>
                <w:bCs/>
                <w:sz w:val="28"/>
                <w:szCs w:val="28"/>
                <w:lang w:eastAsia="en-US"/>
              </w:rPr>
              <w:t>.</w:t>
            </w:r>
          </w:p>
          <w:p w:rsidR="00F21F61" w:rsidRPr="00F21F61" w:rsidRDefault="00F21F61" w:rsidP="00F21F61">
            <w:pPr>
              <w:spacing w:line="276" w:lineRule="auto"/>
              <w:rPr>
                <w:rFonts w:eastAsiaTheme="minorHAnsi"/>
                <w:sz w:val="28"/>
                <w:szCs w:val="28"/>
                <w:lang w:eastAsia="en-US"/>
              </w:rPr>
            </w:pPr>
            <w:r w:rsidRPr="00F21F61">
              <w:rPr>
                <w:rFonts w:eastAsiaTheme="minorHAnsi"/>
                <w:sz w:val="28"/>
                <w:szCs w:val="28"/>
                <w:lang w:eastAsia="en-US"/>
              </w:rPr>
              <w:t>…</w:t>
            </w:r>
          </w:p>
        </w:tc>
      </w:tr>
      <w:tr w:rsidR="00F21F61" w:rsidRPr="00F21F61"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outlineLvl w:val="0"/>
              <w:rPr>
                <w:sz w:val="28"/>
                <w:szCs w:val="28"/>
              </w:rPr>
            </w:pPr>
            <w:r w:rsidRPr="00F21F61">
              <w:rPr>
                <w:b/>
                <w:sz w:val="28"/>
                <w:szCs w:val="28"/>
              </w:rPr>
              <w:t>Статья 50.</w:t>
            </w:r>
            <w:r w:rsidRPr="00F21F61">
              <w:rPr>
                <w:sz w:val="28"/>
                <w:szCs w:val="28"/>
              </w:rPr>
              <w:t xml:space="preserve"> Основания увольнения с военной службы</w:t>
            </w:r>
          </w:p>
          <w:p w:rsidR="00F21F61" w:rsidRPr="00F21F61" w:rsidRDefault="00F21F61" w:rsidP="00F21F61">
            <w:pPr>
              <w:rPr>
                <w:sz w:val="28"/>
                <w:szCs w:val="28"/>
              </w:rPr>
            </w:pPr>
            <w:r w:rsidRPr="00F21F61">
              <w:rPr>
                <w:sz w:val="28"/>
                <w:szCs w:val="28"/>
              </w:rPr>
              <w:t>5. Военнослужащий, проходящий военную службу по контракту, имеет право на досрочное увольнение с военной службы:</w:t>
            </w:r>
          </w:p>
          <w:p w:rsidR="00F21F61" w:rsidRPr="00F21F61" w:rsidRDefault="00F21F61" w:rsidP="00F21F61">
            <w:pPr>
              <w:rPr>
                <w:sz w:val="28"/>
                <w:szCs w:val="28"/>
              </w:rPr>
            </w:pPr>
            <w:r w:rsidRPr="00F21F61">
              <w:rPr>
                <w:sz w:val="28"/>
                <w:szCs w:val="28"/>
              </w:rPr>
              <w:tab/>
              <w:t>…</w:t>
            </w:r>
          </w:p>
          <w:p w:rsidR="00F21F61" w:rsidRPr="00F21F61" w:rsidRDefault="00F21F61" w:rsidP="00F21F61">
            <w:pPr>
              <w:rPr>
                <w:sz w:val="28"/>
                <w:szCs w:val="28"/>
              </w:rPr>
            </w:pPr>
            <w:r w:rsidRPr="00F21F61">
              <w:rPr>
                <w:sz w:val="28"/>
                <w:szCs w:val="28"/>
              </w:rPr>
              <w:t xml:space="preserve">г) в связи с избранием его депутатом Верховного либо местного Советов народных депутатов </w:t>
            </w:r>
            <w:r w:rsidRPr="00F21F61">
              <w:rPr>
                <w:b/>
                <w:sz w:val="28"/>
                <w:szCs w:val="28"/>
              </w:rPr>
              <w:t>и осуществления указанных полномочий на постоянной основе</w:t>
            </w:r>
            <w:r w:rsidRPr="00F21F61">
              <w:rPr>
                <w:sz w:val="28"/>
                <w:szCs w:val="28"/>
              </w:rPr>
              <w:t xml:space="preserve">. На военнослужащего, уволенного с военной службы по основаниям, предусмотренным подпунктами «а» и «г» настоящего пункта, распространяются права и льготы, предусмотренные законодательством Приднестровской Молдавской Республики о статусе военнослужащих для </w:t>
            </w:r>
            <w:r w:rsidRPr="00F21F61">
              <w:rPr>
                <w:sz w:val="28"/>
                <w:szCs w:val="28"/>
              </w:rPr>
              <w:lastRenderedPageBreak/>
              <w:t>военнослужащих, уволенных с военной службы в связи с организационно-штатными мероприятиями;</w:t>
            </w:r>
          </w:p>
          <w:p w:rsidR="00F21F61" w:rsidRPr="00F21F61" w:rsidRDefault="00F21F61" w:rsidP="00F21F61">
            <w:pPr>
              <w:rPr>
                <w:sz w:val="28"/>
                <w:szCs w:val="28"/>
              </w:rPr>
            </w:pPr>
            <w:r w:rsidRPr="00F21F61">
              <w:rPr>
                <w:sz w:val="28"/>
                <w:szCs w:val="28"/>
              </w:rPr>
              <w:t>…</w:t>
            </w:r>
          </w:p>
        </w:tc>
        <w:tc>
          <w:tcPr>
            <w:tcW w:w="4674"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outlineLvl w:val="0"/>
              <w:rPr>
                <w:sz w:val="28"/>
                <w:szCs w:val="28"/>
              </w:rPr>
            </w:pPr>
            <w:r w:rsidRPr="00F21F61">
              <w:rPr>
                <w:b/>
                <w:sz w:val="28"/>
                <w:szCs w:val="28"/>
              </w:rPr>
              <w:lastRenderedPageBreak/>
              <w:t>Статья 50.</w:t>
            </w:r>
            <w:r w:rsidRPr="00F21F61">
              <w:rPr>
                <w:sz w:val="28"/>
                <w:szCs w:val="28"/>
              </w:rPr>
              <w:t xml:space="preserve"> Основания увольнения с военной службы</w:t>
            </w:r>
          </w:p>
          <w:p w:rsidR="00F21F61" w:rsidRPr="00F21F61" w:rsidRDefault="00F21F61" w:rsidP="00F21F61">
            <w:pPr>
              <w:rPr>
                <w:sz w:val="28"/>
                <w:szCs w:val="28"/>
              </w:rPr>
            </w:pPr>
            <w:r w:rsidRPr="00F21F61">
              <w:rPr>
                <w:sz w:val="28"/>
                <w:szCs w:val="28"/>
              </w:rPr>
              <w:t>5. Военнослужащий, проходящий военную службу по контракту, имеет право на досрочное увольнение с военной службы:</w:t>
            </w:r>
          </w:p>
          <w:p w:rsidR="00F21F61" w:rsidRPr="00F21F61" w:rsidRDefault="00F21F61" w:rsidP="00F21F61">
            <w:pPr>
              <w:rPr>
                <w:sz w:val="28"/>
                <w:szCs w:val="28"/>
              </w:rPr>
            </w:pPr>
            <w:r w:rsidRPr="00F21F61">
              <w:rPr>
                <w:sz w:val="28"/>
                <w:szCs w:val="28"/>
              </w:rPr>
              <w:tab/>
              <w:t>…</w:t>
            </w:r>
          </w:p>
          <w:p w:rsidR="00F21F61" w:rsidRPr="00F21F61" w:rsidRDefault="00F21F61" w:rsidP="00F21F61">
            <w:pPr>
              <w:rPr>
                <w:sz w:val="28"/>
                <w:szCs w:val="28"/>
              </w:rPr>
            </w:pPr>
            <w:r w:rsidRPr="00F21F61">
              <w:rPr>
                <w:sz w:val="28"/>
                <w:szCs w:val="28"/>
              </w:rPr>
              <w:t xml:space="preserve">г) в связи с избранием его депутатом Верховного </w:t>
            </w:r>
            <w:r w:rsidRPr="00F21F61">
              <w:rPr>
                <w:b/>
                <w:sz w:val="28"/>
                <w:szCs w:val="28"/>
              </w:rPr>
              <w:t>Совета Приднестровской Молдавской Республики</w:t>
            </w:r>
            <w:r w:rsidRPr="00F21F61">
              <w:rPr>
                <w:sz w:val="28"/>
                <w:szCs w:val="28"/>
              </w:rPr>
              <w:t xml:space="preserve"> либо местного Советов народных депутатов. На военнослужащего, уволенного с военной службы по основаниям, предусмотренным подпунктами «а» и «г» настоящего пункта, распространяются права и льготы, предусмотренные законодательством Приднестровской Молдавской Республики о статусе военнослужащих для военнослужащих, уволенных с </w:t>
            </w:r>
            <w:r w:rsidRPr="00F21F61">
              <w:rPr>
                <w:sz w:val="28"/>
                <w:szCs w:val="28"/>
              </w:rPr>
              <w:lastRenderedPageBreak/>
              <w:t>военной службы в связи с организационно-штатными мероприятиями;</w:t>
            </w:r>
          </w:p>
          <w:p w:rsidR="00F21F61" w:rsidRPr="00F21F61" w:rsidRDefault="00F21F61" w:rsidP="00F21F61">
            <w:pPr>
              <w:rPr>
                <w:sz w:val="28"/>
                <w:szCs w:val="28"/>
              </w:rPr>
            </w:pPr>
            <w:r w:rsidRPr="00F21F61">
              <w:rPr>
                <w:sz w:val="28"/>
                <w:szCs w:val="28"/>
              </w:rPr>
              <w:t>…</w:t>
            </w:r>
          </w:p>
        </w:tc>
      </w:tr>
      <w:tr w:rsidR="00F21F61" w:rsidRPr="00F21F61"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outlineLvl w:val="0"/>
              <w:rPr>
                <w:sz w:val="28"/>
                <w:szCs w:val="28"/>
              </w:rPr>
            </w:pPr>
            <w:r w:rsidRPr="00F21F61">
              <w:rPr>
                <w:b/>
                <w:sz w:val="28"/>
                <w:szCs w:val="28"/>
              </w:rPr>
              <w:lastRenderedPageBreak/>
              <w:t>Статья 54.</w:t>
            </w:r>
            <w:r w:rsidRPr="00F21F61">
              <w:rPr>
                <w:sz w:val="28"/>
                <w:szCs w:val="28"/>
              </w:rPr>
              <w:t xml:space="preserve"> Освобождение от военных сборов</w:t>
            </w:r>
          </w:p>
          <w:p w:rsidR="00F21F61" w:rsidRPr="00F21F61" w:rsidRDefault="00F21F61" w:rsidP="00F21F61">
            <w:pPr>
              <w:outlineLvl w:val="0"/>
              <w:rPr>
                <w:sz w:val="28"/>
                <w:szCs w:val="28"/>
              </w:rPr>
            </w:pPr>
            <w:r w:rsidRPr="00F21F61">
              <w:rPr>
                <w:sz w:val="28"/>
                <w:szCs w:val="28"/>
              </w:rPr>
              <w:t xml:space="preserve">2. От военных сборов также освобождаются: </w:t>
            </w:r>
            <w:r w:rsidRPr="00F21F61">
              <w:rPr>
                <w:sz w:val="28"/>
                <w:szCs w:val="28"/>
              </w:rPr>
              <w:tab/>
            </w:r>
          </w:p>
          <w:p w:rsidR="00F21F61" w:rsidRPr="00F21F61" w:rsidRDefault="00F21F61" w:rsidP="00F21F61">
            <w:pPr>
              <w:outlineLvl w:val="0"/>
              <w:rPr>
                <w:sz w:val="28"/>
                <w:szCs w:val="28"/>
              </w:rPr>
            </w:pPr>
            <w:r w:rsidRPr="00F21F61">
              <w:rPr>
                <w:sz w:val="28"/>
                <w:szCs w:val="28"/>
              </w:rPr>
              <w:t>…</w:t>
            </w:r>
          </w:p>
          <w:p w:rsidR="00F21F61" w:rsidRPr="00F21F61" w:rsidRDefault="00F21F61" w:rsidP="00F21F61">
            <w:pPr>
              <w:outlineLvl w:val="0"/>
              <w:rPr>
                <w:sz w:val="28"/>
                <w:szCs w:val="28"/>
              </w:rPr>
            </w:pPr>
            <w:r w:rsidRPr="00F21F61">
              <w:rPr>
                <w:sz w:val="28"/>
                <w:szCs w:val="28"/>
              </w:rPr>
              <w:t>л) депутаты Верховного Совета Приднестровской Молдавской Республики;</w:t>
            </w:r>
          </w:p>
          <w:p w:rsidR="00F21F61" w:rsidRPr="00F21F61" w:rsidRDefault="00F21F61" w:rsidP="00F21F61">
            <w:pPr>
              <w:outlineLvl w:val="0"/>
              <w:rPr>
                <w:b/>
                <w:sz w:val="28"/>
                <w:szCs w:val="28"/>
              </w:rPr>
            </w:pPr>
            <w:r w:rsidRPr="00F21F61">
              <w:rPr>
                <w:sz w:val="28"/>
                <w:szCs w:val="28"/>
              </w:rPr>
              <w:t xml:space="preserve">м) народные депутаты местных Советов, </w:t>
            </w:r>
            <w:r w:rsidRPr="00F21F61">
              <w:rPr>
                <w:b/>
                <w:sz w:val="28"/>
                <w:szCs w:val="28"/>
              </w:rPr>
              <w:t xml:space="preserve">осуществляющие свои полномочия на постоянной основе. </w:t>
            </w:r>
          </w:p>
          <w:p w:rsidR="00F21F61" w:rsidRPr="00F21F61" w:rsidRDefault="00F21F61" w:rsidP="00F21F61">
            <w:pPr>
              <w:outlineLvl w:val="0"/>
              <w:rPr>
                <w:b/>
                <w:sz w:val="28"/>
                <w:szCs w:val="28"/>
              </w:rPr>
            </w:pPr>
            <w:r w:rsidRPr="00F21F61">
              <w:rPr>
                <w:b/>
                <w:sz w:val="28"/>
                <w:szCs w:val="28"/>
              </w:rPr>
              <w:t>…</w:t>
            </w:r>
          </w:p>
        </w:tc>
        <w:tc>
          <w:tcPr>
            <w:tcW w:w="4674" w:type="dxa"/>
            <w:tcBorders>
              <w:top w:val="single" w:sz="4" w:space="0" w:color="auto"/>
              <w:left w:val="single" w:sz="4" w:space="0" w:color="auto"/>
              <w:bottom w:val="single" w:sz="4" w:space="0" w:color="auto"/>
              <w:right w:val="single" w:sz="4" w:space="0" w:color="auto"/>
            </w:tcBorders>
          </w:tcPr>
          <w:p w:rsidR="00F21F61" w:rsidRPr="00F21F61" w:rsidRDefault="00F21F61" w:rsidP="00F21F61">
            <w:pPr>
              <w:outlineLvl w:val="0"/>
              <w:rPr>
                <w:sz w:val="28"/>
                <w:szCs w:val="28"/>
              </w:rPr>
            </w:pPr>
            <w:r w:rsidRPr="00F21F61">
              <w:rPr>
                <w:b/>
                <w:sz w:val="28"/>
                <w:szCs w:val="28"/>
              </w:rPr>
              <w:t>Статья 54.</w:t>
            </w:r>
            <w:r w:rsidRPr="00F21F61">
              <w:rPr>
                <w:sz w:val="28"/>
                <w:szCs w:val="28"/>
              </w:rPr>
              <w:t xml:space="preserve"> Освобождение от военных сборов</w:t>
            </w:r>
          </w:p>
          <w:p w:rsidR="00F21F61" w:rsidRPr="00F21F61" w:rsidRDefault="00F21F61" w:rsidP="00F21F61">
            <w:pPr>
              <w:outlineLvl w:val="0"/>
              <w:rPr>
                <w:sz w:val="28"/>
                <w:szCs w:val="28"/>
              </w:rPr>
            </w:pPr>
            <w:r w:rsidRPr="00F21F61">
              <w:rPr>
                <w:sz w:val="28"/>
                <w:szCs w:val="28"/>
              </w:rPr>
              <w:t xml:space="preserve">2. От военных сборов также освобождаются: </w:t>
            </w:r>
            <w:r w:rsidRPr="00F21F61">
              <w:rPr>
                <w:sz w:val="28"/>
                <w:szCs w:val="28"/>
              </w:rPr>
              <w:tab/>
            </w:r>
          </w:p>
          <w:p w:rsidR="00F21F61" w:rsidRPr="00F21F61" w:rsidRDefault="00F21F61" w:rsidP="00F21F61">
            <w:pPr>
              <w:outlineLvl w:val="0"/>
              <w:rPr>
                <w:sz w:val="28"/>
                <w:szCs w:val="28"/>
              </w:rPr>
            </w:pPr>
            <w:r w:rsidRPr="00F21F61">
              <w:rPr>
                <w:sz w:val="28"/>
                <w:szCs w:val="28"/>
              </w:rPr>
              <w:t>…</w:t>
            </w:r>
          </w:p>
          <w:p w:rsidR="00F21F61" w:rsidRPr="00F21F61" w:rsidRDefault="00F21F61" w:rsidP="00F21F61">
            <w:pPr>
              <w:outlineLvl w:val="0"/>
              <w:rPr>
                <w:sz w:val="28"/>
                <w:szCs w:val="28"/>
              </w:rPr>
            </w:pPr>
            <w:r w:rsidRPr="00F21F61">
              <w:rPr>
                <w:sz w:val="28"/>
                <w:szCs w:val="28"/>
              </w:rPr>
              <w:t>л) депутаты Верховного Совета Приднестровской Молдавской Республики;</w:t>
            </w:r>
          </w:p>
          <w:p w:rsidR="00F21F61" w:rsidRPr="00F21F61" w:rsidRDefault="00F21F61" w:rsidP="00F21F61">
            <w:pPr>
              <w:outlineLvl w:val="0"/>
              <w:rPr>
                <w:sz w:val="28"/>
                <w:szCs w:val="28"/>
              </w:rPr>
            </w:pPr>
            <w:r w:rsidRPr="00F21F61">
              <w:rPr>
                <w:sz w:val="28"/>
                <w:szCs w:val="28"/>
              </w:rPr>
              <w:t>м) народные депутаты местных Советов.</w:t>
            </w:r>
          </w:p>
          <w:p w:rsidR="00F21F61" w:rsidRPr="00F21F61" w:rsidRDefault="00F21F61" w:rsidP="00F21F61">
            <w:pPr>
              <w:outlineLvl w:val="0"/>
              <w:rPr>
                <w:b/>
                <w:sz w:val="28"/>
                <w:szCs w:val="28"/>
              </w:rPr>
            </w:pPr>
            <w:r w:rsidRPr="00F21F61">
              <w:rPr>
                <w:b/>
                <w:sz w:val="28"/>
                <w:szCs w:val="28"/>
              </w:rPr>
              <w:t>…</w:t>
            </w:r>
          </w:p>
        </w:tc>
      </w:tr>
    </w:tbl>
    <w:p w:rsidR="003D28E8" w:rsidRPr="00960197" w:rsidRDefault="003D28E8" w:rsidP="00960197">
      <w:bookmarkStart w:id="0" w:name="_GoBack"/>
      <w:bookmarkEnd w:id="0"/>
    </w:p>
    <w:sectPr w:rsidR="003D28E8" w:rsidRPr="00960197" w:rsidSect="00960197">
      <w:headerReference w:type="default" r:id="rId8"/>
      <w:pgSz w:w="11906" w:h="16838" w:code="9"/>
      <w:pgMar w:top="567" w:right="1133" w:bottom="709" w:left="1276"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BB" w:rsidRDefault="00D468BB">
      <w:r>
        <w:separator/>
      </w:r>
    </w:p>
  </w:endnote>
  <w:endnote w:type="continuationSeparator" w:id="0">
    <w:p w:rsidR="00D468BB" w:rsidRDefault="00D4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BB" w:rsidRDefault="00D468BB">
      <w:r>
        <w:separator/>
      </w:r>
    </w:p>
  </w:footnote>
  <w:footnote w:type="continuationSeparator" w:id="0">
    <w:p w:rsidR="00D468BB" w:rsidRDefault="00D4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F21F61">
          <w:rPr>
            <w:noProof/>
          </w:rPr>
          <w:t>- 2 -</w:t>
        </w:r>
        <w:r>
          <w:fldChar w:fldCharType="end"/>
        </w:r>
      </w:p>
    </w:sdtContent>
  </w:sdt>
  <w:p w:rsidR="004954C8" w:rsidRDefault="00D468B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68BB"/>
    <w:rsid w:val="00D476A5"/>
    <w:rsid w:val="00D6364B"/>
    <w:rsid w:val="00D646F1"/>
    <w:rsid w:val="00D66E35"/>
    <w:rsid w:val="00D70CCD"/>
    <w:rsid w:val="00D72DAB"/>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E81C"/>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8C18-FFDC-4E5C-8330-F466F23D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119</cp:revision>
  <cp:lastPrinted>2026-01-30T06:58:00Z</cp:lastPrinted>
  <dcterms:created xsi:type="dcterms:W3CDTF">2026-02-09T12:39:00Z</dcterms:created>
  <dcterms:modified xsi:type="dcterms:W3CDTF">2026-03-19T09:13:00Z</dcterms:modified>
</cp:coreProperties>
</file>