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6078" w:rsidRPr="00D01AA4" w:rsidRDefault="00736078" w:rsidP="00736078">
      <w:pPr>
        <w:jc w:val="center"/>
        <w:rPr>
          <w:sz w:val="28"/>
          <w:szCs w:val="28"/>
        </w:rPr>
      </w:pPr>
      <w:r w:rsidRPr="00D01AA4">
        <w:rPr>
          <w:sz w:val="28"/>
          <w:szCs w:val="28"/>
        </w:rPr>
        <w:t>СРАВНИТЕЛЬНАЯ ТАБЛИЦА</w:t>
      </w:r>
    </w:p>
    <w:p w:rsidR="00736078" w:rsidRPr="00D01AA4" w:rsidRDefault="00736078" w:rsidP="00736078">
      <w:pPr>
        <w:autoSpaceDE w:val="0"/>
        <w:autoSpaceDN w:val="0"/>
        <w:adjustRightInd w:val="0"/>
        <w:ind w:firstLine="709"/>
        <w:jc w:val="center"/>
        <w:rPr>
          <w:sz w:val="28"/>
          <w:szCs w:val="28"/>
        </w:rPr>
      </w:pPr>
      <w:r w:rsidRPr="00D01AA4">
        <w:rPr>
          <w:sz w:val="28"/>
          <w:szCs w:val="28"/>
        </w:rPr>
        <w:t xml:space="preserve">к проекту закона Приднестровской Молдавской Республики </w:t>
      </w:r>
    </w:p>
    <w:p w:rsidR="00736078" w:rsidRPr="00D01AA4" w:rsidRDefault="00736078" w:rsidP="00736078">
      <w:pPr>
        <w:autoSpaceDE w:val="0"/>
        <w:autoSpaceDN w:val="0"/>
        <w:adjustRightInd w:val="0"/>
        <w:ind w:firstLine="709"/>
        <w:jc w:val="center"/>
        <w:rPr>
          <w:sz w:val="28"/>
          <w:szCs w:val="28"/>
        </w:rPr>
      </w:pPr>
      <w:r w:rsidRPr="00D01AA4">
        <w:rPr>
          <w:sz w:val="28"/>
          <w:szCs w:val="28"/>
        </w:rPr>
        <w:t>«О внесении изменений и дополнений в Закон Приднестровской Молдавской Республики «Об электросвязи»</w:t>
      </w:r>
    </w:p>
    <w:p w:rsidR="00736078" w:rsidRPr="00D01AA4" w:rsidRDefault="00736078" w:rsidP="00736078">
      <w:pPr>
        <w:autoSpaceDE w:val="0"/>
        <w:autoSpaceDN w:val="0"/>
        <w:adjustRightInd w:val="0"/>
        <w:ind w:firstLine="709"/>
        <w:jc w:val="center"/>
        <w:rPr>
          <w:b/>
          <w:sz w:val="28"/>
          <w:szCs w:val="28"/>
        </w:rPr>
      </w:pPr>
    </w:p>
    <w:tbl>
      <w:tblPr>
        <w:tblW w:w="9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4379"/>
        <w:gridCol w:w="4386"/>
      </w:tblGrid>
      <w:tr w:rsidR="00736078" w:rsidRPr="00D01AA4" w:rsidTr="0098554C">
        <w:tc>
          <w:tcPr>
            <w:tcW w:w="0" w:type="auto"/>
            <w:tcBorders>
              <w:top w:val="single" w:sz="4" w:space="0" w:color="auto"/>
              <w:left w:val="single" w:sz="4" w:space="0" w:color="auto"/>
              <w:bottom w:val="single" w:sz="4" w:space="0" w:color="auto"/>
              <w:right w:val="single" w:sz="4" w:space="0" w:color="auto"/>
            </w:tcBorders>
            <w:vAlign w:val="center"/>
            <w:hideMark/>
          </w:tcPr>
          <w:p w:rsidR="00736078" w:rsidRPr="00D01AA4" w:rsidRDefault="00736078" w:rsidP="0098554C">
            <w:pPr>
              <w:rPr>
                <w:sz w:val="28"/>
                <w:szCs w:val="28"/>
                <w:lang w:eastAsia="en-US"/>
              </w:rPr>
            </w:pPr>
          </w:p>
        </w:tc>
        <w:tc>
          <w:tcPr>
            <w:tcW w:w="4379" w:type="dxa"/>
            <w:tcBorders>
              <w:top w:val="single" w:sz="4" w:space="0" w:color="auto"/>
              <w:left w:val="single" w:sz="4" w:space="0" w:color="auto"/>
              <w:bottom w:val="single" w:sz="4" w:space="0" w:color="auto"/>
              <w:right w:val="single" w:sz="4" w:space="0" w:color="auto"/>
            </w:tcBorders>
            <w:hideMark/>
          </w:tcPr>
          <w:p w:rsidR="00736078" w:rsidRPr="00D01AA4" w:rsidRDefault="00736078" w:rsidP="0098554C">
            <w:pPr>
              <w:jc w:val="center"/>
              <w:rPr>
                <w:sz w:val="28"/>
                <w:szCs w:val="28"/>
                <w:lang w:eastAsia="en-US"/>
              </w:rPr>
            </w:pPr>
            <w:r w:rsidRPr="00D01AA4">
              <w:rPr>
                <w:sz w:val="28"/>
                <w:szCs w:val="28"/>
                <w:lang w:eastAsia="en-US"/>
              </w:rPr>
              <w:t>Действующая редакция</w:t>
            </w:r>
          </w:p>
        </w:tc>
        <w:tc>
          <w:tcPr>
            <w:tcW w:w="4386" w:type="dxa"/>
            <w:tcBorders>
              <w:top w:val="single" w:sz="4" w:space="0" w:color="auto"/>
              <w:left w:val="single" w:sz="4" w:space="0" w:color="auto"/>
              <w:bottom w:val="single" w:sz="4" w:space="0" w:color="auto"/>
              <w:right w:val="single" w:sz="4" w:space="0" w:color="auto"/>
            </w:tcBorders>
            <w:hideMark/>
          </w:tcPr>
          <w:p w:rsidR="00736078" w:rsidRPr="00D01AA4" w:rsidRDefault="00736078" w:rsidP="0098554C">
            <w:pPr>
              <w:jc w:val="center"/>
              <w:rPr>
                <w:sz w:val="28"/>
                <w:szCs w:val="28"/>
                <w:lang w:eastAsia="en-US"/>
              </w:rPr>
            </w:pPr>
            <w:r w:rsidRPr="00D01AA4">
              <w:rPr>
                <w:sz w:val="28"/>
                <w:szCs w:val="28"/>
                <w:lang w:eastAsia="en-US"/>
              </w:rPr>
              <w:t>Предлагаемая редакция</w:t>
            </w:r>
          </w:p>
        </w:tc>
      </w:tr>
      <w:tr w:rsidR="00736078" w:rsidRPr="00D01AA4" w:rsidTr="0098554C">
        <w:tc>
          <w:tcPr>
            <w:tcW w:w="594" w:type="dxa"/>
            <w:tcBorders>
              <w:top w:val="single" w:sz="4" w:space="0" w:color="auto"/>
              <w:left w:val="single" w:sz="4" w:space="0" w:color="auto"/>
              <w:bottom w:val="single" w:sz="4" w:space="0" w:color="auto"/>
              <w:right w:val="single" w:sz="4" w:space="0" w:color="auto"/>
            </w:tcBorders>
            <w:hideMark/>
          </w:tcPr>
          <w:p w:rsidR="00736078" w:rsidRPr="00D01AA4" w:rsidRDefault="00736078" w:rsidP="0098554C">
            <w:pPr>
              <w:rPr>
                <w:bCs/>
                <w:sz w:val="28"/>
                <w:szCs w:val="28"/>
                <w:lang w:eastAsia="en-US"/>
              </w:rPr>
            </w:pPr>
            <w:r w:rsidRPr="00D01AA4">
              <w:rPr>
                <w:bCs/>
                <w:sz w:val="28"/>
                <w:szCs w:val="28"/>
                <w:lang w:eastAsia="en-US"/>
              </w:rPr>
              <w:t>1</w:t>
            </w:r>
          </w:p>
        </w:tc>
        <w:tc>
          <w:tcPr>
            <w:tcW w:w="4379" w:type="dxa"/>
            <w:tcBorders>
              <w:top w:val="single" w:sz="4" w:space="0" w:color="auto"/>
              <w:left w:val="single" w:sz="4" w:space="0" w:color="auto"/>
              <w:bottom w:val="single" w:sz="4" w:space="0" w:color="auto"/>
              <w:right w:val="single" w:sz="4" w:space="0" w:color="auto"/>
            </w:tcBorders>
          </w:tcPr>
          <w:p w:rsidR="00736078" w:rsidRPr="00D01AA4" w:rsidRDefault="00736078" w:rsidP="0098554C">
            <w:pPr>
              <w:pStyle w:val="a4"/>
              <w:ind w:firstLine="720"/>
              <w:jc w:val="both"/>
              <w:outlineLvl w:val="0"/>
              <w:rPr>
                <w:rFonts w:ascii="Times New Roman" w:hAnsi="Times New Roman" w:cs="Times New Roman"/>
                <w:sz w:val="28"/>
                <w:szCs w:val="28"/>
                <w:lang w:eastAsia="en-US"/>
              </w:rPr>
            </w:pPr>
            <w:r w:rsidRPr="00D01AA4">
              <w:rPr>
                <w:rFonts w:ascii="Times New Roman" w:hAnsi="Times New Roman" w:cs="Times New Roman"/>
                <w:b/>
                <w:sz w:val="28"/>
                <w:szCs w:val="28"/>
                <w:lang w:eastAsia="en-US"/>
              </w:rPr>
              <w:t>Статья 2.</w:t>
            </w:r>
            <w:r w:rsidRPr="00D01AA4">
              <w:rPr>
                <w:rFonts w:ascii="Times New Roman" w:hAnsi="Times New Roman" w:cs="Times New Roman"/>
                <w:sz w:val="28"/>
                <w:szCs w:val="28"/>
                <w:lang w:eastAsia="en-US"/>
              </w:rPr>
              <w:t xml:space="preserve"> Основные понятия, используемые в настоящем Законе</w:t>
            </w:r>
          </w:p>
          <w:p w:rsidR="00736078" w:rsidRPr="00D01AA4" w:rsidRDefault="00736078" w:rsidP="0098554C">
            <w:pPr>
              <w:pStyle w:val="a4"/>
              <w:ind w:firstLine="720"/>
              <w:jc w:val="both"/>
              <w:outlineLvl w:val="0"/>
              <w:rPr>
                <w:rFonts w:ascii="Times New Roman" w:hAnsi="Times New Roman" w:cs="Times New Roman"/>
                <w:sz w:val="28"/>
                <w:szCs w:val="28"/>
                <w:lang w:eastAsia="en-US"/>
              </w:rPr>
            </w:pPr>
            <w:r w:rsidRPr="00D01AA4">
              <w:rPr>
                <w:rFonts w:ascii="Times New Roman" w:hAnsi="Times New Roman" w:cs="Times New Roman"/>
                <w:sz w:val="28"/>
                <w:szCs w:val="28"/>
                <w:lang w:eastAsia="en-US"/>
              </w:rPr>
              <w:t>…</w:t>
            </w:r>
          </w:p>
          <w:p w:rsidR="00736078" w:rsidRPr="00D01AA4" w:rsidRDefault="00736078" w:rsidP="0098554C">
            <w:pPr>
              <w:pStyle w:val="a4"/>
              <w:ind w:firstLine="720"/>
              <w:jc w:val="both"/>
              <w:outlineLvl w:val="0"/>
              <w:rPr>
                <w:rFonts w:ascii="Times New Roman" w:hAnsi="Times New Roman" w:cs="Times New Roman"/>
                <w:sz w:val="28"/>
                <w:szCs w:val="28"/>
                <w:lang w:eastAsia="en-US"/>
              </w:rPr>
            </w:pPr>
            <w:r w:rsidRPr="00D01AA4">
              <w:rPr>
                <w:rFonts w:ascii="Times New Roman" w:hAnsi="Times New Roman" w:cs="Times New Roman"/>
                <w:sz w:val="28"/>
                <w:szCs w:val="28"/>
                <w:lang w:eastAsia="en-US"/>
              </w:rPr>
              <w:t>я-4) отсутствует;</w:t>
            </w:r>
          </w:p>
          <w:p w:rsidR="00736078" w:rsidRPr="00D01AA4" w:rsidRDefault="00736078" w:rsidP="0098554C">
            <w:pPr>
              <w:jc w:val="center"/>
              <w:rPr>
                <w:sz w:val="28"/>
                <w:szCs w:val="28"/>
                <w:lang w:eastAsia="en-US"/>
              </w:rPr>
            </w:pPr>
          </w:p>
          <w:p w:rsidR="00736078" w:rsidRPr="00D01AA4" w:rsidRDefault="00736078" w:rsidP="0098554C">
            <w:pPr>
              <w:rPr>
                <w:sz w:val="28"/>
                <w:szCs w:val="28"/>
                <w:lang w:eastAsia="en-US"/>
              </w:rPr>
            </w:pPr>
          </w:p>
          <w:p w:rsidR="00736078" w:rsidRPr="00D01AA4" w:rsidRDefault="00736078" w:rsidP="0098554C">
            <w:pPr>
              <w:rPr>
                <w:sz w:val="28"/>
                <w:szCs w:val="28"/>
                <w:lang w:eastAsia="en-US"/>
              </w:rPr>
            </w:pPr>
          </w:p>
          <w:p w:rsidR="00736078" w:rsidRPr="00D01AA4" w:rsidRDefault="00736078" w:rsidP="0098554C">
            <w:pPr>
              <w:rPr>
                <w:sz w:val="28"/>
                <w:szCs w:val="28"/>
                <w:lang w:eastAsia="en-US"/>
              </w:rPr>
            </w:pPr>
          </w:p>
          <w:p w:rsidR="00736078" w:rsidRPr="00D01AA4" w:rsidRDefault="00736078" w:rsidP="0098554C">
            <w:pPr>
              <w:ind w:firstLine="708"/>
              <w:rPr>
                <w:sz w:val="28"/>
                <w:szCs w:val="28"/>
                <w:lang w:eastAsia="en-US"/>
              </w:rPr>
            </w:pPr>
            <w:r w:rsidRPr="00D01AA4">
              <w:rPr>
                <w:sz w:val="28"/>
                <w:szCs w:val="28"/>
                <w:lang w:eastAsia="en-US"/>
              </w:rPr>
              <w:t>я-5) отсутствует.</w:t>
            </w:r>
          </w:p>
        </w:tc>
        <w:tc>
          <w:tcPr>
            <w:tcW w:w="4386" w:type="dxa"/>
            <w:tcBorders>
              <w:top w:val="single" w:sz="4" w:space="0" w:color="auto"/>
              <w:left w:val="single" w:sz="4" w:space="0" w:color="auto"/>
              <w:bottom w:val="single" w:sz="4" w:space="0" w:color="auto"/>
              <w:right w:val="single" w:sz="4" w:space="0" w:color="auto"/>
            </w:tcBorders>
          </w:tcPr>
          <w:p w:rsidR="00736078" w:rsidRPr="00D01AA4" w:rsidRDefault="00736078" w:rsidP="0098554C">
            <w:pPr>
              <w:pStyle w:val="a4"/>
              <w:ind w:firstLine="720"/>
              <w:jc w:val="both"/>
              <w:outlineLvl w:val="0"/>
              <w:rPr>
                <w:rFonts w:ascii="Times New Roman" w:hAnsi="Times New Roman" w:cs="Times New Roman"/>
                <w:sz w:val="28"/>
                <w:szCs w:val="28"/>
                <w:lang w:eastAsia="en-US"/>
              </w:rPr>
            </w:pPr>
            <w:r w:rsidRPr="00D01AA4">
              <w:rPr>
                <w:rFonts w:ascii="Times New Roman" w:hAnsi="Times New Roman" w:cs="Times New Roman"/>
                <w:b/>
                <w:sz w:val="28"/>
                <w:szCs w:val="28"/>
                <w:lang w:eastAsia="en-US"/>
              </w:rPr>
              <w:t>Статья 2.</w:t>
            </w:r>
            <w:r w:rsidRPr="00D01AA4">
              <w:rPr>
                <w:rFonts w:ascii="Times New Roman" w:hAnsi="Times New Roman" w:cs="Times New Roman"/>
                <w:sz w:val="28"/>
                <w:szCs w:val="28"/>
                <w:lang w:eastAsia="en-US"/>
              </w:rPr>
              <w:t xml:space="preserve"> Основные понятия, используемые в настоящем Законе</w:t>
            </w:r>
          </w:p>
          <w:p w:rsidR="00736078" w:rsidRPr="00D01AA4" w:rsidRDefault="00736078" w:rsidP="0098554C">
            <w:pPr>
              <w:jc w:val="center"/>
              <w:rPr>
                <w:sz w:val="28"/>
                <w:szCs w:val="28"/>
                <w:lang w:eastAsia="en-US"/>
              </w:rPr>
            </w:pPr>
            <w:r w:rsidRPr="00D01AA4">
              <w:rPr>
                <w:sz w:val="28"/>
                <w:szCs w:val="28"/>
                <w:lang w:eastAsia="en-US"/>
              </w:rPr>
              <w:t>…</w:t>
            </w:r>
          </w:p>
          <w:p w:rsidR="00736078" w:rsidRPr="00D01AA4" w:rsidRDefault="00736078" w:rsidP="0098554C">
            <w:pPr>
              <w:shd w:val="clear" w:color="auto" w:fill="FFFFFF"/>
              <w:tabs>
                <w:tab w:val="left" w:pos="993"/>
              </w:tabs>
              <w:ind w:firstLine="709"/>
              <w:rPr>
                <w:bCs/>
                <w:iCs/>
                <w:sz w:val="28"/>
                <w:szCs w:val="28"/>
                <w:lang w:eastAsia="en-US"/>
              </w:rPr>
            </w:pPr>
            <w:r w:rsidRPr="00D01AA4">
              <w:rPr>
                <w:bCs/>
                <w:iCs/>
                <w:sz w:val="28"/>
                <w:szCs w:val="28"/>
                <w:lang w:eastAsia="en-US"/>
              </w:rPr>
              <w:t>я-4) линейно-кабельные сооружения электросвязи – объекты инженерной инфраструктуры, созданные или приспособленные для размещения кабелей электросвязи;</w:t>
            </w:r>
          </w:p>
          <w:p w:rsidR="00736078" w:rsidRPr="00D01AA4" w:rsidRDefault="00736078" w:rsidP="0098554C">
            <w:pPr>
              <w:rPr>
                <w:bCs/>
                <w:iCs/>
                <w:sz w:val="28"/>
                <w:szCs w:val="28"/>
                <w:lang w:eastAsia="en-US"/>
              </w:rPr>
            </w:pPr>
            <w:r w:rsidRPr="00D01AA4">
              <w:rPr>
                <w:bCs/>
                <w:iCs/>
                <w:sz w:val="28"/>
                <w:szCs w:val="28"/>
                <w:lang w:eastAsia="en-US"/>
              </w:rPr>
              <w:tab/>
              <w:t>я-5) объект электросвязи – производственный объект, включающий, согласно утвержденной в установленном порядке проектной документации, средства электросвязи, сети и сооружения электросвязи, предназначенные для оказания услуг электросвязи.</w:t>
            </w:r>
          </w:p>
          <w:p w:rsidR="00736078" w:rsidRPr="00D01AA4" w:rsidRDefault="00736078" w:rsidP="0098554C">
            <w:pPr>
              <w:rPr>
                <w:sz w:val="28"/>
                <w:szCs w:val="28"/>
                <w:lang w:eastAsia="en-US"/>
              </w:rPr>
            </w:pPr>
          </w:p>
        </w:tc>
      </w:tr>
      <w:tr w:rsidR="00736078" w:rsidRPr="00D01AA4" w:rsidTr="0098554C">
        <w:trPr>
          <w:trHeight w:val="840"/>
        </w:trPr>
        <w:tc>
          <w:tcPr>
            <w:tcW w:w="594" w:type="dxa"/>
            <w:tcBorders>
              <w:top w:val="single" w:sz="4" w:space="0" w:color="auto"/>
              <w:left w:val="single" w:sz="4" w:space="0" w:color="auto"/>
              <w:bottom w:val="single" w:sz="4" w:space="0" w:color="auto"/>
              <w:right w:val="single" w:sz="4" w:space="0" w:color="auto"/>
            </w:tcBorders>
            <w:hideMark/>
          </w:tcPr>
          <w:p w:rsidR="00736078" w:rsidRPr="00D01AA4" w:rsidRDefault="00736078" w:rsidP="0098554C">
            <w:pPr>
              <w:pStyle w:val="a4"/>
              <w:ind w:firstLine="26"/>
              <w:jc w:val="both"/>
              <w:outlineLvl w:val="0"/>
              <w:rPr>
                <w:rFonts w:ascii="Times New Roman" w:hAnsi="Times New Roman" w:cs="Times New Roman"/>
                <w:bCs/>
                <w:sz w:val="28"/>
                <w:szCs w:val="28"/>
                <w:lang w:eastAsia="en-US"/>
              </w:rPr>
            </w:pPr>
            <w:r w:rsidRPr="00D01AA4">
              <w:rPr>
                <w:rFonts w:ascii="Times New Roman" w:hAnsi="Times New Roman" w:cs="Times New Roman"/>
                <w:bCs/>
                <w:sz w:val="28"/>
                <w:szCs w:val="28"/>
                <w:lang w:eastAsia="en-US"/>
              </w:rPr>
              <w:t>2</w:t>
            </w:r>
          </w:p>
        </w:tc>
        <w:tc>
          <w:tcPr>
            <w:tcW w:w="4379" w:type="dxa"/>
            <w:tcBorders>
              <w:top w:val="single" w:sz="4" w:space="0" w:color="auto"/>
              <w:left w:val="single" w:sz="4" w:space="0" w:color="auto"/>
              <w:bottom w:val="single" w:sz="4" w:space="0" w:color="auto"/>
              <w:right w:val="single" w:sz="4" w:space="0" w:color="auto"/>
            </w:tcBorders>
          </w:tcPr>
          <w:p w:rsidR="00736078" w:rsidRPr="00D01AA4" w:rsidRDefault="00736078" w:rsidP="0098554C">
            <w:pPr>
              <w:pStyle w:val="a4"/>
              <w:ind w:firstLine="458"/>
              <w:rPr>
                <w:rFonts w:ascii="Times New Roman" w:eastAsiaTheme="minorHAnsi" w:hAnsi="Times New Roman" w:cs="Times New Roman"/>
                <w:sz w:val="28"/>
                <w:szCs w:val="28"/>
                <w:lang w:eastAsia="en-US"/>
              </w:rPr>
            </w:pPr>
            <w:r w:rsidRPr="00D01AA4">
              <w:rPr>
                <w:rFonts w:ascii="Times New Roman" w:hAnsi="Times New Roman" w:cs="Times New Roman"/>
                <w:bCs/>
                <w:sz w:val="28"/>
                <w:szCs w:val="28"/>
                <w:lang w:eastAsia="en-US"/>
              </w:rPr>
              <w:t xml:space="preserve">   </w:t>
            </w:r>
            <w:r w:rsidRPr="00D01AA4">
              <w:rPr>
                <w:rFonts w:ascii="Times New Roman" w:eastAsiaTheme="minorHAnsi" w:hAnsi="Times New Roman" w:cs="Times New Roman"/>
                <w:b/>
                <w:bCs/>
                <w:sz w:val="28"/>
                <w:szCs w:val="28"/>
                <w:lang w:eastAsia="en-US"/>
              </w:rPr>
              <w:t>Статья 41.</w:t>
            </w:r>
            <w:r w:rsidRPr="00D01AA4">
              <w:rPr>
                <w:rFonts w:ascii="Times New Roman" w:eastAsiaTheme="minorHAnsi" w:hAnsi="Times New Roman" w:cs="Times New Roman"/>
                <w:sz w:val="28"/>
                <w:szCs w:val="28"/>
                <w:lang w:eastAsia="en-US"/>
              </w:rPr>
              <w:t xml:space="preserve"> Организация государственного регулирования </w:t>
            </w:r>
          </w:p>
          <w:p w:rsidR="00736078" w:rsidRPr="00D01AA4" w:rsidRDefault="00736078" w:rsidP="0098554C">
            <w:pPr>
              <w:pStyle w:val="a4"/>
              <w:jc w:val="both"/>
              <w:rPr>
                <w:rFonts w:ascii="Times New Roman" w:hAnsi="Times New Roman" w:cs="Times New Roman"/>
                <w:bCs/>
                <w:sz w:val="28"/>
                <w:szCs w:val="28"/>
                <w:lang w:eastAsia="en-US"/>
              </w:rPr>
            </w:pPr>
            <w:r w:rsidRPr="00D01AA4">
              <w:rPr>
                <w:rFonts w:ascii="Times New Roman" w:eastAsiaTheme="minorHAnsi" w:hAnsi="Times New Roman" w:cs="Times New Roman"/>
                <w:sz w:val="28"/>
                <w:szCs w:val="28"/>
                <w:lang w:eastAsia="en-US"/>
              </w:rPr>
              <w:t>деятельности в области электросвязи</w:t>
            </w:r>
          </w:p>
          <w:p w:rsidR="00736078" w:rsidRPr="00D01AA4" w:rsidRDefault="00736078" w:rsidP="0098554C">
            <w:pPr>
              <w:pStyle w:val="a4"/>
              <w:ind w:firstLine="458"/>
              <w:jc w:val="both"/>
              <w:outlineLvl w:val="0"/>
              <w:rPr>
                <w:rFonts w:ascii="Times New Roman" w:hAnsi="Times New Roman" w:cs="Times New Roman"/>
                <w:bCs/>
                <w:sz w:val="28"/>
                <w:szCs w:val="28"/>
                <w:lang w:eastAsia="en-US"/>
              </w:rPr>
            </w:pPr>
            <w:r w:rsidRPr="00D01AA4">
              <w:rPr>
                <w:rFonts w:ascii="Times New Roman" w:hAnsi="Times New Roman" w:cs="Times New Roman"/>
                <w:bCs/>
                <w:sz w:val="28"/>
                <w:szCs w:val="28"/>
                <w:lang w:eastAsia="en-US"/>
              </w:rPr>
              <w:t>…</w:t>
            </w:r>
          </w:p>
          <w:p w:rsidR="00736078" w:rsidRPr="00D01AA4" w:rsidRDefault="00736078" w:rsidP="0098554C">
            <w:pPr>
              <w:pStyle w:val="a4"/>
              <w:ind w:firstLine="458"/>
              <w:jc w:val="both"/>
              <w:outlineLvl w:val="0"/>
              <w:rPr>
                <w:rFonts w:ascii="Times New Roman" w:hAnsi="Times New Roman" w:cs="Times New Roman"/>
                <w:bCs/>
                <w:sz w:val="28"/>
                <w:szCs w:val="28"/>
                <w:lang w:eastAsia="en-US"/>
              </w:rPr>
            </w:pPr>
            <w:r w:rsidRPr="00D01AA4">
              <w:rPr>
                <w:rFonts w:ascii="Times New Roman" w:hAnsi="Times New Roman" w:cs="Times New Roman"/>
                <w:bCs/>
                <w:sz w:val="28"/>
                <w:szCs w:val="28"/>
                <w:lang w:eastAsia="en-US"/>
              </w:rPr>
              <w:t>2. Полномочия должностных лиц исполнительного органа государственной власти в области электросвязи устанавливаются Правительством Приднестровской Молдавской Республики.</w:t>
            </w:r>
          </w:p>
          <w:p w:rsidR="00736078" w:rsidRPr="00D01AA4" w:rsidRDefault="00736078" w:rsidP="0098554C">
            <w:pPr>
              <w:pStyle w:val="a4"/>
              <w:ind w:firstLine="458"/>
              <w:jc w:val="both"/>
              <w:outlineLvl w:val="0"/>
              <w:rPr>
                <w:rFonts w:ascii="Times New Roman" w:hAnsi="Times New Roman" w:cs="Times New Roman"/>
                <w:bCs/>
                <w:sz w:val="28"/>
                <w:szCs w:val="28"/>
                <w:lang w:eastAsia="en-US"/>
              </w:rPr>
            </w:pPr>
            <w:r w:rsidRPr="00D01AA4">
              <w:rPr>
                <w:rFonts w:ascii="Times New Roman" w:hAnsi="Times New Roman" w:cs="Times New Roman"/>
                <w:bCs/>
                <w:sz w:val="28"/>
                <w:szCs w:val="28"/>
                <w:lang w:eastAsia="en-US"/>
              </w:rPr>
              <w:t>Задачи исполнительного органа государственной власти в области электросвязи:</w:t>
            </w:r>
          </w:p>
          <w:p w:rsidR="00736078" w:rsidRPr="00D01AA4" w:rsidRDefault="00736078" w:rsidP="0098554C">
            <w:pPr>
              <w:pStyle w:val="a4"/>
              <w:ind w:firstLine="458"/>
              <w:jc w:val="both"/>
              <w:outlineLvl w:val="0"/>
              <w:rPr>
                <w:rFonts w:ascii="Times New Roman" w:hAnsi="Times New Roman" w:cs="Times New Roman"/>
                <w:bCs/>
                <w:sz w:val="28"/>
                <w:szCs w:val="28"/>
                <w:lang w:eastAsia="en-US"/>
              </w:rPr>
            </w:pPr>
            <w:r w:rsidRPr="00D01AA4">
              <w:rPr>
                <w:rFonts w:ascii="Times New Roman" w:hAnsi="Times New Roman" w:cs="Times New Roman"/>
                <w:bCs/>
                <w:sz w:val="28"/>
                <w:szCs w:val="28"/>
                <w:lang w:eastAsia="en-US"/>
              </w:rPr>
              <w:t>…</w:t>
            </w:r>
          </w:p>
          <w:p w:rsidR="00736078" w:rsidRPr="00D01AA4" w:rsidRDefault="00736078" w:rsidP="0098554C">
            <w:pPr>
              <w:pStyle w:val="a4"/>
              <w:ind w:firstLine="458"/>
              <w:jc w:val="both"/>
              <w:outlineLvl w:val="0"/>
              <w:rPr>
                <w:rFonts w:ascii="Times New Roman" w:hAnsi="Times New Roman" w:cs="Times New Roman"/>
                <w:bCs/>
                <w:sz w:val="28"/>
                <w:szCs w:val="28"/>
                <w:lang w:eastAsia="en-US"/>
              </w:rPr>
            </w:pPr>
            <w:r w:rsidRPr="00D01AA4">
              <w:rPr>
                <w:rFonts w:ascii="Times New Roman" w:hAnsi="Times New Roman" w:cs="Times New Roman"/>
                <w:bCs/>
                <w:sz w:val="28"/>
                <w:szCs w:val="28"/>
                <w:lang w:eastAsia="en-US"/>
              </w:rPr>
              <w:t>б)</w:t>
            </w:r>
            <w:r w:rsidRPr="00D01AA4">
              <w:rPr>
                <w:rFonts w:ascii="Times New Roman" w:hAnsi="Times New Roman" w:cs="Times New Roman"/>
                <w:sz w:val="28"/>
                <w:szCs w:val="28"/>
                <w:lang w:eastAsia="en-US"/>
              </w:rPr>
              <w:t xml:space="preserve"> </w:t>
            </w:r>
            <w:r w:rsidRPr="00D01AA4">
              <w:rPr>
                <w:rFonts w:ascii="Times New Roman" w:hAnsi="Times New Roman" w:cs="Times New Roman"/>
                <w:bCs/>
                <w:sz w:val="28"/>
                <w:szCs w:val="28"/>
                <w:lang w:eastAsia="en-US"/>
              </w:rPr>
              <w:t xml:space="preserve">разработка и принятие подзаконных нормативных правовых актов по вопросам </w:t>
            </w:r>
            <w:r w:rsidRPr="00D01AA4">
              <w:rPr>
                <w:rFonts w:ascii="Times New Roman" w:hAnsi="Times New Roman" w:cs="Times New Roman"/>
                <w:bCs/>
                <w:sz w:val="28"/>
                <w:szCs w:val="28"/>
                <w:lang w:eastAsia="en-US"/>
              </w:rPr>
              <w:lastRenderedPageBreak/>
              <w:t>регулирования деятельности в области электросвязи, создания, развития и эксплуатации сетей электросвязи;</w:t>
            </w:r>
          </w:p>
          <w:p w:rsidR="00736078" w:rsidRPr="00D01AA4" w:rsidRDefault="00736078" w:rsidP="0098554C">
            <w:pPr>
              <w:pStyle w:val="a4"/>
              <w:ind w:firstLine="458"/>
              <w:jc w:val="both"/>
              <w:outlineLvl w:val="0"/>
              <w:rPr>
                <w:rFonts w:ascii="Times New Roman" w:hAnsi="Times New Roman" w:cs="Times New Roman"/>
                <w:bCs/>
                <w:sz w:val="28"/>
                <w:szCs w:val="28"/>
                <w:lang w:eastAsia="en-US"/>
              </w:rPr>
            </w:pPr>
          </w:p>
          <w:p w:rsidR="00736078" w:rsidRPr="00D01AA4" w:rsidRDefault="00736078" w:rsidP="0098554C">
            <w:pPr>
              <w:pStyle w:val="a4"/>
              <w:ind w:firstLine="458"/>
              <w:jc w:val="both"/>
              <w:outlineLvl w:val="0"/>
              <w:rPr>
                <w:rFonts w:ascii="Times New Roman" w:hAnsi="Times New Roman" w:cs="Times New Roman"/>
                <w:bCs/>
                <w:sz w:val="28"/>
                <w:szCs w:val="28"/>
                <w:lang w:eastAsia="en-US"/>
              </w:rPr>
            </w:pPr>
          </w:p>
          <w:p w:rsidR="00736078" w:rsidRPr="00D01AA4" w:rsidRDefault="00736078" w:rsidP="0098554C">
            <w:pPr>
              <w:pStyle w:val="a4"/>
              <w:ind w:firstLine="458"/>
              <w:jc w:val="both"/>
              <w:outlineLvl w:val="0"/>
              <w:rPr>
                <w:rFonts w:ascii="Times New Roman" w:hAnsi="Times New Roman" w:cs="Times New Roman"/>
                <w:bCs/>
                <w:sz w:val="28"/>
                <w:szCs w:val="28"/>
                <w:lang w:eastAsia="en-US"/>
              </w:rPr>
            </w:pPr>
          </w:p>
          <w:p w:rsidR="00736078" w:rsidRPr="00D01AA4" w:rsidRDefault="00736078" w:rsidP="0098554C">
            <w:pPr>
              <w:pStyle w:val="a4"/>
              <w:ind w:firstLine="458"/>
              <w:jc w:val="both"/>
              <w:outlineLvl w:val="0"/>
              <w:rPr>
                <w:rFonts w:ascii="Times New Roman" w:hAnsi="Times New Roman" w:cs="Times New Roman"/>
                <w:bCs/>
                <w:sz w:val="28"/>
                <w:szCs w:val="28"/>
                <w:lang w:eastAsia="en-US"/>
              </w:rPr>
            </w:pPr>
          </w:p>
          <w:p w:rsidR="00736078" w:rsidRPr="00D01AA4" w:rsidRDefault="00736078" w:rsidP="0098554C">
            <w:pPr>
              <w:ind w:firstLine="458"/>
              <w:rPr>
                <w:sz w:val="28"/>
                <w:szCs w:val="28"/>
                <w:lang w:eastAsia="en-US"/>
              </w:rPr>
            </w:pPr>
          </w:p>
          <w:p w:rsidR="00736078" w:rsidRPr="00D01AA4" w:rsidRDefault="00736078" w:rsidP="0098554C">
            <w:pPr>
              <w:ind w:firstLine="458"/>
              <w:rPr>
                <w:sz w:val="28"/>
                <w:szCs w:val="28"/>
                <w:lang w:eastAsia="en-US"/>
              </w:rPr>
            </w:pPr>
          </w:p>
          <w:p w:rsidR="00736078" w:rsidRPr="00D01AA4" w:rsidRDefault="00736078" w:rsidP="0098554C">
            <w:pPr>
              <w:ind w:firstLine="458"/>
              <w:rPr>
                <w:sz w:val="28"/>
                <w:szCs w:val="28"/>
                <w:lang w:eastAsia="en-US"/>
              </w:rPr>
            </w:pPr>
          </w:p>
          <w:p w:rsidR="00736078" w:rsidRPr="00D01AA4" w:rsidRDefault="00736078" w:rsidP="0098554C">
            <w:pPr>
              <w:ind w:firstLine="458"/>
              <w:rPr>
                <w:sz w:val="28"/>
                <w:szCs w:val="28"/>
                <w:lang w:eastAsia="en-US"/>
              </w:rPr>
            </w:pPr>
          </w:p>
          <w:p w:rsidR="00736078" w:rsidRPr="00D01AA4" w:rsidRDefault="00736078" w:rsidP="0098554C">
            <w:pPr>
              <w:ind w:firstLine="458"/>
              <w:rPr>
                <w:sz w:val="28"/>
                <w:szCs w:val="28"/>
                <w:lang w:eastAsia="en-US"/>
              </w:rPr>
            </w:pPr>
          </w:p>
          <w:p w:rsidR="00736078" w:rsidRPr="00D01AA4" w:rsidRDefault="00736078" w:rsidP="0098554C">
            <w:pPr>
              <w:pStyle w:val="a4"/>
              <w:ind w:firstLine="458"/>
              <w:jc w:val="both"/>
              <w:rPr>
                <w:rFonts w:ascii="Times New Roman" w:hAnsi="Times New Roman" w:cs="Times New Roman"/>
                <w:sz w:val="28"/>
                <w:szCs w:val="28"/>
                <w:lang w:eastAsia="en-US"/>
              </w:rPr>
            </w:pPr>
            <w:r w:rsidRPr="00D01AA4">
              <w:rPr>
                <w:rFonts w:ascii="Times New Roman" w:hAnsi="Times New Roman" w:cs="Times New Roman"/>
                <w:sz w:val="28"/>
                <w:szCs w:val="28"/>
                <w:lang w:eastAsia="en-US"/>
              </w:rPr>
              <w:t>…</w:t>
            </w:r>
          </w:p>
          <w:p w:rsidR="00736078" w:rsidRPr="00D01AA4" w:rsidRDefault="00736078" w:rsidP="0098554C">
            <w:pPr>
              <w:rPr>
                <w:b/>
                <w:sz w:val="28"/>
                <w:szCs w:val="28"/>
                <w:lang w:eastAsia="en-US"/>
              </w:rPr>
            </w:pPr>
          </w:p>
        </w:tc>
        <w:tc>
          <w:tcPr>
            <w:tcW w:w="4386" w:type="dxa"/>
            <w:tcBorders>
              <w:top w:val="single" w:sz="4" w:space="0" w:color="auto"/>
              <w:left w:val="single" w:sz="4" w:space="0" w:color="auto"/>
              <w:bottom w:val="single" w:sz="4" w:space="0" w:color="auto"/>
              <w:right w:val="single" w:sz="4" w:space="0" w:color="auto"/>
            </w:tcBorders>
          </w:tcPr>
          <w:p w:rsidR="00736078" w:rsidRPr="00D01AA4" w:rsidRDefault="00736078" w:rsidP="0098554C">
            <w:pPr>
              <w:pStyle w:val="a4"/>
              <w:ind w:firstLine="458"/>
              <w:rPr>
                <w:rFonts w:ascii="Times New Roman" w:eastAsiaTheme="minorHAnsi" w:hAnsi="Times New Roman" w:cs="Times New Roman"/>
                <w:sz w:val="28"/>
                <w:szCs w:val="28"/>
                <w:lang w:eastAsia="en-US"/>
              </w:rPr>
            </w:pPr>
            <w:r w:rsidRPr="00D01AA4">
              <w:rPr>
                <w:rFonts w:ascii="Times New Roman" w:hAnsi="Times New Roman" w:cs="Times New Roman"/>
                <w:bCs/>
                <w:sz w:val="28"/>
                <w:szCs w:val="28"/>
                <w:lang w:eastAsia="en-US"/>
              </w:rPr>
              <w:lastRenderedPageBreak/>
              <w:t xml:space="preserve">   </w:t>
            </w:r>
            <w:r w:rsidRPr="00D01AA4">
              <w:rPr>
                <w:rFonts w:ascii="Times New Roman" w:eastAsiaTheme="minorHAnsi" w:hAnsi="Times New Roman" w:cs="Times New Roman"/>
                <w:b/>
                <w:bCs/>
                <w:sz w:val="28"/>
                <w:szCs w:val="28"/>
                <w:lang w:eastAsia="en-US"/>
              </w:rPr>
              <w:t>Статья 41.</w:t>
            </w:r>
            <w:r w:rsidRPr="00D01AA4">
              <w:rPr>
                <w:rFonts w:ascii="Times New Roman" w:eastAsiaTheme="minorHAnsi" w:hAnsi="Times New Roman" w:cs="Times New Roman"/>
                <w:sz w:val="28"/>
                <w:szCs w:val="28"/>
                <w:lang w:eastAsia="en-US"/>
              </w:rPr>
              <w:t xml:space="preserve"> Организация государственного регулирования </w:t>
            </w:r>
          </w:p>
          <w:p w:rsidR="00736078" w:rsidRPr="00D01AA4" w:rsidRDefault="00736078" w:rsidP="0098554C">
            <w:pPr>
              <w:pStyle w:val="a4"/>
              <w:rPr>
                <w:rFonts w:ascii="Times New Roman" w:hAnsi="Times New Roman" w:cs="Times New Roman"/>
                <w:bCs/>
                <w:sz w:val="28"/>
                <w:szCs w:val="28"/>
                <w:lang w:eastAsia="en-US"/>
              </w:rPr>
            </w:pPr>
            <w:r w:rsidRPr="00D01AA4">
              <w:rPr>
                <w:rFonts w:ascii="Times New Roman" w:eastAsiaTheme="minorHAnsi" w:hAnsi="Times New Roman" w:cs="Times New Roman"/>
                <w:sz w:val="28"/>
                <w:szCs w:val="28"/>
                <w:lang w:eastAsia="en-US"/>
              </w:rPr>
              <w:t>деятельности в области электросвязи</w:t>
            </w:r>
          </w:p>
          <w:p w:rsidR="00736078" w:rsidRPr="00D01AA4" w:rsidRDefault="00736078" w:rsidP="0098554C">
            <w:pPr>
              <w:pStyle w:val="a4"/>
              <w:ind w:firstLine="458"/>
              <w:jc w:val="both"/>
              <w:outlineLvl w:val="0"/>
              <w:rPr>
                <w:rFonts w:ascii="Times New Roman" w:hAnsi="Times New Roman" w:cs="Times New Roman"/>
                <w:bCs/>
                <w:sz w:val="28"/>
                <w:szCs w:val="28"/>
                <w:lang w:eastAsia="en-US"/>
              </w:rPr>
            </w:pPr>
            <w:r w:rsidRPr="00D01AA4">
              <w:rPr>
                <w:rFonts w:ascii="Times New Roman" w:hAnsi="Times New Roman" w:cs="Times New Roman"/>
                <w:bCs/>
                <w:sz w:val="28"/>
                <w:szCs w:val="28"/>
                <w:lang w:eastAsia="en-US"/>
              </w:rPr>
              <w:t>…</w:t>
            </w:r>
          </w:p>
          <w:p w:rsidR="00736078" w:rsidRPr="00D01AA4" w:rsidRDefault="00736078" w:rsidP="0098554C">
            <w:pPr>
              <w:pStyle w:val="a4"/>
              <w:ind w:firstLine="458"/>
              <w:jc w:val="both"/>
              <w:outlineLvl w:val="0"/>
              <w:rPr>
                <w:rFonts w:ascii="Times New Roman" w:hAnsi="Times New Roman" w:cs="Times New Roman"/>
                <w:bCs/>
                <w:sz w:val="28"/>
                <w:szCs w:val="28"/>
                <w:lang w:eastAsia="en-US"/>
              </w:rPr>
            </w:pPr>
            <w:r w:rsidRPr="00D01AA4">
              <w:rPr>
                <w:rFonts w:ascii="Times New Roman" w:hAnsi="Times New Roman" w:cs="Times New Roman"/>
                <w:bCs/>
                <w:sz w:val="28"/>
                <w:szCs w:val="28"/>
                <w:lang w:eastAsia="en-US"/>
              </w:rPr>
              <w:t>2. Полномочия должностных лиц исполнительного органа государственной власти в области электросвязи устанавливаются Правительством Приднестровской Молдавской Республики.</w:t>
            </w:r>
          </w:p>
          <w:p w:rsidR="00736078" w:rsidRPr="00D01AA4" w:rsidRDefault="00736078" w:rsidP="0098554C">
            <w:pPr>
              <w:pStyle w:val="a4"/>
              <w:ind w:firstLine="458"/>
              <w:jc w:val="both"/>
              <w:outlineLvl w:val="0"/>
              <w:rPr>
                <w:rFonts w:ascii="Times New Roman" w:hAnsi="Times New Roman" w:cs="Times New Roman"/>
                <w:bCs/>
                <w:sz w:val="28"/>
                <w:szCs w:val="28"/>
                <w:lang w:eastAsia="en-US"/>
              </w:rPr>
            </w:pPr>
            <w:r w:rsidRPr="00D01AA4">
              <w:rPr>
                <w:rFonts w:ascii="Times New Roman" w:hAnsi="Times New Roman" w:cs="Times New Roman"/>
                <w:bCs/>
                <w:sz w:val="28"/>
                <w:szCs w:val="28"/>
                <w:lang w:eastAsia="en-US"/>
              </w:rPr>
              <w:t>Задачи исполнительного органа государственной власти в области электросвязи:</w:t>
            </w:r>
          </w:p>
          <w:p w:rsidR="00736078" w:rsidRPr="00D01AA4" w:rsidRDefault="00736078" w:rsidP="0098554C">
            <w:pPr>
              <w:pStyle w:val="a4"/>
              <w:ind w:firstLine="458"/>
              <w:jc w:val="both"/>
              <w:outlineLvl w:val="0"/>
              <w:rPr>
                <w:rFonts w:ascii="Times New Roman" w:hAnsi="Times New Roman" w:cs="Times New Roman"/>
                <w:bCs/>
                <w:sz w:val="28"/>
                <w:szCs w:val="28"/>
                <w:lang w:eastAsia="en-US"/>
              </w:rPr>
            </w:pPr>
            <w:r w:rsidRPr="00D01AA4">
              <w:rPr>
                <w:rFonts w:ascii="Times New Roman" w:hAnsi="Times New Roman" w:cs="Times New Roman"/>
                <w:bCs/>
                <w:sz w:val="28"/>
                <w:szCs w:val="28"/>
                <w:lang w:eastAsia="en-US"/>
              </w:rPr>
              <w:t>…</w:t>
            </w:r>
          </w:p>
          <w:p w:rsidR="00736078" w:rsidRPr="00D01AA4" w:rsidRDefault="00736078" w:rsidP="0098554C">
            <w:pPr>
              <w:ind w:firstLine="458"/>
              <w:rPr>
                <w:sz w:val="28"/>
                <w:szCs w:val="28"/>
                <w:lang w:eastAsia="en-US"/>
              </w:rPr>
            </w:pPr>
            <w:r w:rsidRPr="00D01AA4">
              <w:rPr>
                <w:sz w:val="28"/>
                <w:szCs w:val="28"/>
                <w:lang w:eastAsia="en-US"/>
              </w:rPr>
              <w:t xml:space="preserve">б) разработка и принятие подзаконных нормативных правовых актов по вопросам </w:t>
            </w:r>
            <w:r w:rsidRPr="00D01AA4">
              <w:rPr>
                <w:sz w:val="28"/>
                <w:szCs w:val="28"/>
                <w:lang w:eastAsia="en-US"/>
              </w:rPr>
              <w:lastRenderedPageBreak/>
              <w:t xml:space="preserve">регулирования деятельности в области электросвязи, </w:t>
            </w:r>
            <w:r w:rsidRPr="00D01AA4">
              <w:rPr>
                <w:b/>
                <w:sz w:val="28"/>
                <w:szCs w:val="28"/>
                <w:lang w:eastAsia="en-US"/>
              </w:rPr>
              <w:t>строительства и ввода в эксплуатацию объектов электросвязи, эксплуатации сетей электросвязи, линейно-кабельных сооружений электросвязи;</w:t>
            </w:r>
          </w:p>
          <w:p w:rsidR="00736078" w:rsidRPr="00D01AA4" w:rsidRDefault="00736078" w:rsidP="0098554C">
            <w:pPr>
              <w:ind w:firstLine="458"/>
              <w:rPr>
                <w:b/>
                <w:iCs/>
                <w:sz w:val="28"/>
                <w:szCs w:val="28"/>
                <w:lang w:eastAsia="en-US"/>
              </w:rPr>
            </w:pPr>
            <w:r w:rsidRPr="00D01AA4">
              <w:rPr>
                <w:b/>
                <w:iCs/>
                <w:sz w:val="28"/>
                <w:szCs w:val="28"/>
                <w:lang w:eastAsia="en-US"/>
              </w:rPr>
              <w:t>…</w:t>
            </w:r>
          </w:p>
          <w:p w:rsidR="00736078" w:rsidRPr="00D01AA4" w:rsidRDefault="00736078" w:rsidP="0098554C">
            <w:pPr>
              <w:ind w:firstLine="458"/>
              <w:rPr>
                <w:b/>
                <w:iCs/>
                <w:sz w:val="28"/>
                <w:szCs w:val="28"/>
                <w:lang w:eastAsia="en-US"/>
              </w:rPr>
            </w:pPr>
          </w:p>
          <w:p w:rsidR="00736078" w:rsidRPr="00D01AA4" w:rsidRDefault="00736078" w:rsidP="0098554C">
            <w:pPr>
              <w:ind w:firstLine="458"/>
              <w:rPr>
                <w:b/>
                <w:sz w:val="28"/>
                <w:szCs w:val="28"/>
                <w:lang w:eastAsia="en-US"/>
              </w:rPr>
            </w:pPr>
          </w:p>
          <w:p w:rsidR="00736078" w:rsidRPr="00D01AA4" w:rsidRDefault="00736078" w:rsidP="0098554C">
            <w:pPr>
              <w:ind w:firstLine="458"/>
              <w:rPr>
                <w:b/>
                <w:sz w:val="28"/>
                <w:szCs w:val="28"/>
                <w:lang w:eastAsia="en-US"/>
              </w:rPr>
            </w:pPr>
          </w:p>
        </w:tc>
      </w:tr>
      <w:tr w:rsidR="00736078" w:rsidTr="0098554C">
        <w:trPr>
          <w:trHeight w:val="840"/>
        </w:trPr>
        <w:tc>
          <w:tcPr>
            <w:tcW w:w="594" w:type="dxa"/>
            <w:tcBorders>
              <w:top w:val="single" w:sz="4" w:space="0" w:color="auto"/>
              <w:left w:val="single" w:sz="4" w:space="0" w:color="auto"/>
              <w:bottom w:val="single" w:sz="4" w:space="0" w:color="auto"/>
              <w:right w:val="single" w:sz="4" w:space="0" w:color="auto"/>
            </w:tcBorders>
            <w:hideMark/>
          </w:tcPr>
          <w:p w:rsidR="00736078" w:rsidRPr="00D01AA4" w:rsidRDefault="00736078" w:rsidP="0098554C">
            <w:pPr>
              <w:pStyle w:val="a4"/>
              <w:ind w:firstLine="26"/>
              <w:jc w:val="both"/>
              <w:outlineLvl w:val="0"/>
              <w:rPr>
                <w:rFonts w:ascii="Times New Roman" w:hAnsi="Times New Roman" w:cs="Times New Roman"/>
                <w:bCs/>
                <w:sz w:val="28"/>
                <w:szCs w:val="28"/>
                <w:lang w:eastAsia="en-US"/>
              </w:rPr>
            </w:pPr>
            <w:r w:rsidRPr="00D01AA4">
              <w:rPr>
                <w:rFonts w:ascii="Times New Roman" w:hAnsi="Times New Roman" w:cs="Times New Roman"/>
                <w:bCs/>
                <w:sz w:val="28"/>
                <w:szCs w:val="28"/>
                <w:lang w:eastAsia="en-US"/>
              </w:rPr>
              <w:lastRenderedPageBreak/>
              <w:t>3</w:t>
            </w:r>
          </w:p>
        </w:tc>
        <w:tc>
          <w:tcPr>
            <w:tcW w:w="4379" w:type="dxa"/>
            <w:tcBorders>
              <w:top w:val="single" w:sz="4" w:space="0" w:color="auto"/>
              <w:left w:val="single" w:sz="4" w:space="0" w:color="auto"/>
              <w:bottom w:val="single" w:sz="4" w:space="0" w:color="auto"/>
              <w:right w:val="single" w:sz="4" w:space="0" w:color="auto"/>
            </w:tcBorders>
          </w:tcPr>
          <w:p w:rsidR="00736078" w:rsidRPr="00D01AA4" w:rsidRDefault="00736078" w:rsidP="0098554C">
            <w:pPr>
              <w:pStyle w:val="a4"/>
              <w:ind w:firstLine="458"/>
              <w:jc w:val="both"/>
              <w:rPr>
                <w:rFonts w:ascii="Times New Roman" w:hAnsi="Times New Roman" w:cs="Times New Roman"/>
                <w:bCs/>
                <w:sz w:val="28"/>
                <w:szCs w:val="28"/>
                <w:lang w:eastAsia="en-US"/>
              </w:rPr>
            </w:pPr>
            <w:r w:rsidRPr="00D01AA4">
              <w:rPr>
                <w:rFonts w:ascii="Times New Roman" w:hAnsi="Times New Roman" w:cs="Times New Roman"/>
                <w:bCs/>
                <w:sz w:val="28"/>
                <w:szCs w:val="28"/>
                <w:lang w:eastAsia="en-US"/>
              </w:rPr>
              <w:t>Статья 43. Радиочастотные присвоения</w:t>
            </w:r>
          </w:p>
          <w:p w:rsidR="00736078" w:rsidRPr="00D01AA4" w:rsidRDefault="00736078" w:rsidP="0098554C">
            <w:pPr>
              <w:pStyle w:val="a4"/>
              <w:ind w:firstLine="458"/>
              <w:jc w:val="both"/>
              <w:rPr>
                <w:rFonts w:ascii="Times New Roman" w:hAnsi="Times New Roman" w:cs="Times New Roman"/>
                <w:bCs/>
                <w:sz w:val="28"/>
                <w:szCs w:val="28"/>
                <w:lang w:eastAsia="en-US"/>
              </w:rPr>
            </w:pPr>
          </w:p>
          <w:p w:rsidR="00736078" w:rsidRPr="00D01AA4" w:rsidRDefault="00736078" w:rsidP="0098554C">
            <w:pPr>
              <w:pStyle w:val="a4"/>
              <w:ind w:firstLine="458"/>
              <w:jc w:val="both"/>
              <w:rPr>
                <w:rFonts w:ascii="Times New Roman" w:hAnsi="Times New Roman" w:cs="Times New Roman"/>
                <w:bCs/>
                <w:sz w:val="28"/>
                <w:szCs w:val="28"/>
                <w:lang w:eastAsia="en-US"/>
              </w:rPr>
            </w:pPr>
            <w:r w:rsidRPr="00D01AA4">
              <w:rPr>
                <w:rFonts w:ascii="Times New Roman" w:hAnsi="Times New Roman" w:cs="Times New Roman"/>
                <w:bCs/>
                <w:sz w:val="28"/>
                <w:szCs w:val="28"/>
                <w:lang w:eastAsia="en-US"/>
              </w:rPr>
              <w:t>…</w:t>
            </w:r>
          </w:p>
          <w:p w:rsidR="00736078" w:rsidRPr="00D01AA4" w:rsidRDefault="00736078" w:rsidP="0098554C">
            <w:pPr>
              <w:pStyle w:val="a4"/>
              <w:ind w:firstLine="458"/>
              <w:jc w:val="both"/>
              <w:rPr>
                <w:rFonts w:ascii="Times New Roman" w:hAnsi="Times New Roman" w:cs="Times New Roman"/>
                <w:bCs/>
                <w:sz w:val="28"/>
                <w:szCs w:val="28"/>
                <w:lang w:eastAsia="en-US"/>
              </w:rPr>
            </w:pPr>
            <w:r w:rsidRPr="00D01AA4">
              <w:rPr>
                <w:rFonts w:ascii="Times New Roman" w:hAnsi="Times New Roman" w:cs="Times New Roman"/>
                <w:bCs/>
                <w:sz w:val="28"/>
                <w:szCs w:val="28"/>
                <w:lang w:eastAsia="en-US"/>
              </w:rPr>
              <w:t>3. …</w:t>
            </w:r>
          </w:p>
          <w:p w:rsidR="00736078" w:rsidRPr="00D01AA4" w:rsidRDefault="00736078" w:rsidP="0098554C">
            <w:pPr>
              <w:pStyle w:val="a4"/>
              <w:ind w:firstLine="458"/>
              <w:jc w:val="both"/>
              <w:rPr>
                <w:rFonts w:ascii="Times New Roman" w:hAnsi="Times New Roman" w:cs="Times New Roman"/>
                <w:bCs/>
                <w:sz w:val="28"/>
                <w:szCs w:val="28"/>
                <w:lang w:eastAsia="en-US"/>
              </w:rPr>
            </w:pPr>
            <w:r w:rsidRPr="00D01AA4">
              <w:rPr>
                <w:rFonts w:ascii="Times New Roman" w:hAnsi="Times New Roman" w:cs="Times New Roman"/>
                <w:bCs/>
                <w:sz w:val="28"/>
                <w:szCs w:val="28"/>
                <w:lang w:eastAsia="en-US"/>
              </w:rPr>
              <w:t>Порядок установления размеров разовой платы и ежегодной платы, взимания таких платежей определяется в соответствии с действующим законодательством Приднестровской Молдавской Республики исходя из того, что размеры разовой платы и ежегодной платы должны устанавливаться дифференцированно в зависимости от используемых диапазонов радиочастот, количества радиочастот и применяемых технологий.</w:t>
            </w:r>
          </w:p>
          <w:p w:rsidR="00736078" w:rsidRPr="00D01AA4" w:rsidRDefault="00736078" w:rsidP="0098554C">
            <w:pPr>
              <w:pStyle w:val="a4"/>
              <w:ind w:firstLine="458"/>
              <w:jc w:val="both"/>
              <w:rPr>
                <w:rFonts w:ascii="Times New Roman" w:hAnsi="Times New Roman" w:cs="Times New Roman"/>
                <w:bCs/>
                <w:sz w:val="28"/>
                <w:szCs w:val="28"/>
                <w:lang w:eastAsia="en-US"/>
              </w:rPr>
            </w:pPr>
            <w:r w:rsidRPr="00D01AA4">
              <w:rPr>
                <w:rFonts w:ascii="Times New Roman" w:hAnsi="Times New Roman" w:cs="Times New Roman"/>
                <w:bCs/>
                <w:sz w:val="28"/>
                <w:szCs w:val="28"/>
                <w:lang w:eastAsia="en-US"/>
              </w:rPr>
              <w:t>…</w:t>
            </w:r>
          </w:p>
        </w:tc>
        <w:tc>
          <w:tcPr>
            <w:tcW w:w="4386" w:type="dxa"/>
            <w:tcBorders>
              <w:top w:val="single" w:sz="4" w:space="0" w:color="auto"/>
              <w:left w:val="single" w:sz="4" w:space="0" w:color="auto"/>
              <w:bottom w:val="single" w:sz="4" w:space="0" w:color="auto"/>
              <w:right w:val="single" w:sz="4" w:space="0" w:color="auto"/>
            </w:tcBorders>
          </w:tcPr>
          <w:p w:rsidR="00736078" w:rsidRPr="00D01AA4" w:rsidRDefault="00736078" w:rsidP="0098554C">
            <w:pPr>
              <w:pStyle w:val="a4"/>
              <w:ind w:firstLine="458"/>
              <w:rPr>
                <w:rFonts w:ascii="Times New Roman" w:hAnsi="Times New Roman" w:cs="Times New Roman"/>
                <w:bCs/>
                <w:sz w:val="28"/>
                <w:szCs w:val="28"/>
                <w:lang w:eastAsia="en-US"/>
              </w:rPr>
            </w:pPr>
            <w:r w:rsidRPr="00D01AA4">
              <w:rPr>
                <w:rFonts w:ascii="Times New Roman" w:hAnsi="Times New Roman" w:cs="Times New Roman"/>
                <w:bCs/>
                <w:sz w:val="28"/>
                <w:szCs w:val="28"/>
                <w:lang w:eastAsia="en-US"/>
              </w:rPr>
              <w:t>Статья 43. Радиочастотные присвоения</w:t>
            </w:r>
          </w:p>
          <w:p w:rsidR="00736078" w:rsidRPr="00D01AA4" w:rsidRDefault="00736078" w:rsidP="0098554C">
            <w:pPr>
              <w:pStyle w:val="a4"/>
              <w:ind w:firstLine="458"/>
              <w:rPr>
                <w:rFonts w:ascii="Times New Roman" w:hAnsi="Times New Roman" w:cs="Times New Roman"/>
                <w:bCs/>
                <w:sz w:val="28"/>
                <w:szCs w:val="28"/>
                <w:lang w:eastAsia="en-US"/>
              </w:rPr>
            </w:pPr>
          </w:p>
          <w:p w:rsidR="00736078" w:rsidRPr="00D01AA4" w:rsidRDefault="00736078" w:rsidP="0098554C">
            <w:pPr>
              <w:pStyle w:val="a4"/>
              <w:ind w:firstLine="458"/>
              <w:rPr>
                <w:rFonts w:ascii="Times New Roman" w:hAnsi="Times New Roman" w:cs="Times New Roman"/>
                <w:bCs/>
                <w:sz w:val="28"/>
                <w:szCs w:val="28"/>
                <w:lang w:eastAsia="en-US"/>
              </w:rPr>
            </w:pPr>
            <w:r w:rsidRPr="00D01AA4">
              <w:rPr>
                <w:rFonts w:ascii="Times New Roman" w:hAnsi="Times New Roman" w:cs="Times New Roman"/>
                <w:bCs/>
                <w:sz w:val="28"/>
                <w:szCs w:val="28"/>
                <w:lang w:eastAsia="en-US"/>
              </w:rPr>
              <w:t>…</w:t>
            </w:r>
          </w:p>
          <w:p w:rsidR="00736078" w:rsidRPr="00D01AA4" w:rsidRDefault="00736078" w:rsidP="0098554C">
            <w:pPr>
              <w:pStyle w:val="a4"/>
              <w:ind w:firstLine="458"/>
              <w:rPr>
                <w:rFonts w:ascii="Times New Roman" w:hAnsi="Times New Roman" w:cs="Times New Roman"/>
                <w:bCs/>
                <w:sz w:val="28"/>
                <w:szCs w:val="28"/>
                <w:lang w:eastAsia="en-US"/>
              </w:rPr>
            </w:pPr>
            <w:r w:rsidRPr="00D01AA4">
              <w:rPr>
                <w:rFonts w:ascii="Times New Roman" w:hAnsi="Times New Roman" w:cs="Times New Roman"/>
                <w:bCs/>
                <w:sz w:val="28"/>
                <w:szCs w:val="28"/>
                <w:lang w:eastAsia="en-US"/>
              </w:rPr>
              <w:t>3. …</w:t>
            </w:r>
          </w:p>
          <w:p w:rsidR="00736078" w:rsidRPr="00D01AA4" w:rsidRDefault="00736078" w:rsidP="0098554C">
            <w:pPr>
              <w:pStyle w:val="a4"/>
              <w:ind w:firstLine="458"/>
              <w:jc w:val="both"/>
              <w:rPr>
                <w:rFonts w:ascii="Times New Roman" w:hAnsi="Times New Roman" w:cs="Times New Roman"/>
                <w:b/>
                <w:bCs/>
                <w:sz w:val="28"/>
                <w:szCs w:val="28"/>
                <w:lang w:eastAsia="en-US"/>
              </w:rPr>
            </w:pPr>
            <w:r w:rsidRPr="00D01AA4">
              <w:rPr>
                <w:rFonts w:ascii="Times New Roman" w:hAnsi="Times New Roman" w:cs="Times New Roman"/>
                <w:bCs/>
                <w:sz w:val="28"/>
                <w:szCs w:val="28"/>
                <w:lang w:eastAsia="en-US"/>
              </w:rPr>
              <w:t xml:space="preserve">Порядок установления размеров разовой платы и ежегодной платы, взимания таких платежей определяется </w:t>
            </w:r>
            <w:r w:rsidRPr="00D01AA4">
              <w:rPr>
                <w:rFonts w:ascii="Times New Roman" w:hAnsi="Times New Roman" w:cs="Times New Roman"/>
                <w:b/>
                <w:bCs/>
                <w:sz w:val="28"/>
                <w:szCs w:val="28"/>
                <w:lang w:eastAsia="en-US"/>
              </w:rPr>
              <w:t>Правительством Приднестровской Молдавской Республики,</w:t>
            </w:r>
            <w:r w:rsidRPr="00D01AA4">
              <w:rPr>
                <w:rFonts w:ascii="Times New Roman" w:hAnsi="Times New Roman" w:cs="Times New Roman"/>
                <w:bCs/>
                <w:sz w:val="28"/>
                <w:szCs w:val="28"/>
                <w:lang w:eastAsia="en-US"/>
              </w:rPr>
              <w:t xml:space="preserve"> исходя из того, что размеры разовой платы и ежегодной платы должны устанавливаться дифференцированно в зависимости от используемых диапазонов радиочастот, количества радиочастот, </w:t>
            </w:r>
            <w:r w:rsidRPr="00D01AA4">
              <w:rPr>
                <w:rFonts w:ascii="Times New Roman" w:hAnsi="Times New Roman" w:cs="Times New Roman"/>
                <w:b/>
                <w:bCs/>
                <w:sz w:val="28"/>
                <w:szCs w:val="28"/>
                <w:lang w:eastAsia="en-US"/>
              </w:rPr>
              <w:t>ширины полосы используемых радиочастот, территорий</w:t>
            </w:r>
            <w:r w:rsidRPr="00D01AA4">
              <w:rPr>
                <w:rFonts w:ascii="Times New Roman" w:hAnsi="Times New Roman" w:cs="Times New Roman"/>
                <w:bCs/>
                <w:sz w:val="28"/>
                <w:szCs w:val="28"/>
                <w:lang w:eastAsia="en-US"/>
              </w:rPr>
              <w:t xml:space="preserve">, </w:t>
            </w:r>
            <w:r w:rsidRPr="00D01AA4">
              <w:rPr>
                <w:rFonts w:ascii="Times New Roman" w:hAnsi="Times New Roman" w:cs="Times New Roman"/>
                <w:b/>
                <w:bCs/>
                <w:sz w:val="28"/>
                <w:szCs w:val="28"/>
                <w:lang w:eastAsia="en-US"/>
              </w:rPr>
              <w:t>на которых используется радиочастотный спектр, а также</w:t>
            </w:r>
            <w:r w:rsidRPr="00D01AA4">
              <w:rPr>
                <w:rFonts w:ascii="Times New Roman" w:hAnsi="Times New Roman" w:cs="Times New Roman"/>
                <w:bCs/>
                <w:sz w:val="28"/>
                <w:szCs w:val="28"/>
                <w:lang w:eastAsia="en-US"/>
              </w:rPr>
              <w:t xml:space="preserve"> применяемых технологий </w:t>
            </w:r>
            <w:r w:rsidRPr="00D01AA4">
              <w:rPr>
                <w:rFonts w:ascii="Times New Roman" w:hAnsi="Times New Roman" w:cs="Times New Roman"/>
                <w:b/>
                <w:bCs/>
                <w:sz w:val="28"/>
                <w:szCs w:val="28"/>
                <w:lang w:eastAsia="en-US"/>
              </w:rPr>
              <w:t>и их социальной направленности.</w:t>
            </w:r>
            <w:r w:rsidRPr="00D01AA4">
              <w:rPr>
                <w:rFonts w:ascii="Times New Roman" w:hAnsi="Times New Roman" w:cs="Times New Roman"/>
                <w:bCs/>
                <w:sz w:val="28"/>
                <w:szCs w:val="28"/>
                <w:lang w:eastAsia="en-US"/>
              </w:rPr>
              <w:t xml:space="preserve"> </w:t>
            </w:r>
            <w:r w:rsidRPr="00D01AA4">
              <w:rPr>
                <w:rFonts w:ascii="Times New Roman" w:hAnsi="Times New Roman" w:cs="Times New Roman"/>
                <w:b/>
                <w:bCs/>
                <w:sz w:val="28"/>
                <w:szCs w:val="28"/>
                <w:lang w:eastAsia="en-US"/>
              </w:rPr>
              <w:t xml:space="preserve">Расчет разовой платы и ежегодной платы за использование радиочастотного спектра в Приднестровской Молдавской Республике </w:t>
            </w:r>
            <w:r w:rsidRPr="00D01AA4">
              <w:rPr>
                <w:rFonts w:ascii="Times New Roman" w:hAnsi="Times New Roman" w:cs="Times New Roman"/>
                <w:b/>
                <w:bCs/>
                <w:sz w:val="28"/>
                <w:szCs w:val="28"/>
                <w:lang w:eastAsia="en-US"/>
              </w:rPr>
              <w:lastRenderedPageBreak/>
              <w:t>осуществляется исполнительным органом государственной власти в области электросвязи.</w:t>
            </w:r>
          </w:p>
          <w:p w:rsidR="00736078" w:rsidRPr="00D01AA4" w:rsidRDefault="00736078" w:rsidP="0098554C">
            <w:pPr>
              <w:pStyle w:val="a4"/>
              <w:ind w:firstLine="458"/>
              <w:jc w:val="both"/>
              <w:rPr>
                <w:rFonts w:ascii="Times New Roman" w:hAnsi="Times New Roman" w:cs="Times New Roman"/>
                <w:bCs/>
                <w:sz w:val="28"/>
                <w:szCs w:val="28"/>
                <w:lang w:eastAsia="en-US"/>
              </w:rPr>
            </w:pPr>
            <w:r w:rsidRPr="00D01AA4">
              <w:rPr>
                <w:rFonts w:ascii="Times New Roman" w:hAnsi="Times New Roman" w:cs="Times New Roman"/>
                <w:bCs/>
                <w:sz w:val="28"/>
                <w:szCs w:val="28"/>
                <w:lang w:eastAsia="en-US"/>
              </w:rPr>
              <w:t>…</w:t>
            </w:r>
          </w:p>
        </w:tc>
      </w:tr>
      <w:tr w:rsidR="00736078" w:rsidTr="0098554C">
        <w:tc>
          <w:tcPr>
            <w:tcW w:w="594" w:type="dxa"/>
            <w:tcBorders>
              <w:top w:val="single" w:sz="4" w:space="0" w:color="auto"/>
              <w:left w:val="single" w:sz="4" w:space="0" w:color="auto"/>
              <w:bottom w:val="single" w:sz="4" w:space="0" w:color="auto"/>
              <w:right w:val="single" w:sz="4" w:space="0" w:color="auto"/>
            </w:tcBorders>
            <w:hideMark/>
          </w:tcPr>
          <w:p w:rsidR="00736078" w:rsidRDefault="00736078" w:rsidP="0098554C">
            <w:pPr>
              <w:rPr>
                <w:bCs/>
                <w:iCs/>
                <w:sz w:val="28"/>
                <w:szCs w:val="28"/>
                <w:lang w:eastAsia="en-US"/>
              </w:rPr>
            </w:pPr>
            <w:r w:rsidRPr="00D01AA4">
              <w:rPr>
                <w:bCs/>
                <w:iCs/>
                <w:sz w:val="28"/>
                <w:szCs w:val="28"/>
                <w:lang w:eastAsia="en-US"/>
              </w:rPr>
              <w:lastRenderedPageBreak/>
              <w:t>4</w:t>
            </w:r>
          </w:p>
        </w:tc>
        <w:tc>
          <w:tcPr>
            <w:tcW w:w="4379" w:type="dxa"/>
            <w:tcBorders>
              <w:top w:val="single" w:sz="4" w:space="0" w:color="auto"/>
              <w:left w:val="single" w:sz="4" w:space="0" w:color="auto"/>
              <w:bottom w:val="single" w:sz="4" w:space="0" w:color="auto"/>
              <w:right w:val="single" w:sz="4" w:space="0" w:color="auto"/>
            </w:tcBorders>
          </w:tcPr>
          <w:p w:rsidR="00736078" w:rsidRDefault="00736078" w:rsidP="0098554C">
            <w:pPr>
              <w:pStyle w:val="a4"/>
              <w:ind w:firstLine="720"/>
              <w:jc w:val="both"/>
              <w:outlineLvl w:val="0"/>
              <w:rPr>
                <w:rFonts w:ascii="Times New Roman" w:hAnsi="Times New Roman" w:cs="Times New Roman"/>
                <w:sz w:val="28"/>
                <w:szCs w:val="28"/>
                <w:lang w:eastAsia="en-US"/>
              </w:rPr>
            </w:pPr>
            <w:r>
              <w:rPr>
                <w:rFonts w:ascii="Times New Roman" w:hAnsi="Times New Roman" w:cs="Times New Roman"/>
                <w:b/>
                <w:sz w:val="28"/>
                <w:szCs w:val="28"/>
                <w:lang w:eastAsia="en-US"/>
              </w:rPr>
              <w:t>Статья 50.</w:t>
            </w:r>
            <w:r>
              <w:rPr>
                <w:rFonts w:ascii="Times New Roman" w:hAnsi="Times New Roman" w:cs="Times New Roman"/>
                <w:sz w:val="28"/>
                <w:szCs w:val="28"/>
                <w:lang w:eastAsia="en-US"/>
              </w:rPr>
              <w:t xml:space="preserve"> Лицензирование деятельности в области оказания услуг </w:t>
            </w:r>
            <w:r w:rsidRPr="00D01AA4">
              <w:rPr>
                <w:rFonts w:ascii="Times New Roman" w:hAnsi="Times New Roman" w:cs="Times New Roman"/>
                <w:sz w:val="28"/>
                <w:szCs w:val="28"/>
                <w:lang w:eastAsia="en-US"/>
              </w:rPr>
              <w:t>электросвязи</w:t>
            </w:r>
            <w:r>
              <w:rPr>
                <w:sz w:val="28"/>
                <w:szCs w:val="28"/>
                <w:lang w:eastAsia="en-US"/>
              </w:rPr>
              <w:t xml:space="preserve"> </w:t>
            </w:r>
          </w:p>
          <w:p w:rsidR="00736078" w:rsidRDefault="00736078" w:rsidP="0098554C">
            <w:pPr>
              <w:rPr>
                <w:sz w:val="28"/>
                <w:szCs w:val="28"/>
                <w:lang w:eastAsia="en-US"/>
              </w:rPr>
            </w:pPr>
            <w:r>
              <w:rPr>
                <w:sz w:val="28"/>
                <w:szCs w:val="28"/>
                <w:lang w:eastAsia="en-US"/>
              </w:rPr>
              <w:t xml:space="preserve">   …</w:t>
            </w:r>
          </w:p>
          <w:p w:rsidR="00736078" w:rsidRDefault="00736078" w:rsidP="0098554C">
            <w:pPr>
              <w:rPr>
                <w:sz w:val="28"/>
                <w:szCs w:val="28"/>
                <w:lang w:eastAsia="en-US"/>
              </w:rPr>
            </w:pPr>
            <w:r>
              <w:rPr>
                <w:sz w:val="28"/>
                <w:szCs w:val="28"/>
                <w:lang w:eastAsia="en-US"/>
              </w:rPr>
              <w:t xml:space="preserve">  4. Процесс лицензирования деятельности в области электросвязи осуществляется исполнительным органом государственной власти в области электросвязи (далее – лицензирующий орган).</w:t>
            </w:r>
          </w:p>
          <w:p w:rsidR="00736078" w:rsidRDefault="00736078" w:rsidP="0098554C">
            <w:pPr>
              <w:rPr>
                <w:sz w:val="28"/>
                <w:szCs w:val="28"/>
                <w:lang w:eastAsia="en-US"/>
              </w:rPr>
            </w:pPr>
          </w:p>
          <w:p w:rsidR="00736078" w:rsidRDefault="00736078" w:rsidP="0098554C">
            <w:pPr>
              <w:rPr>
                <w:sz w:val="28"/>
                <w:szCs w:val="28"/>
                <w:lang w:eastAsia="en-US"/>
              </w:rPr>
            </w:pPr>
          </w:p>
          <w:p w:rsidR="00736078" w:rsidRDefault="00736078" w:rsidP="0098554C">
            <w:pPr>
              <w:rPr>
                <w:sz w:val="28"/>
                <w:szCs w:val="28"/>
                <w:lang w:eastAsia="en-US"/>
              </w:rPr>
            </w:pPr>
          </w:p>
          <w:p w:rsidR="00736078" w:rsidRDefault="00736078" w:rsidP="0098554C">
            <w:pPr>
              <w:rPr>
                <w:sz w:val="28"/>
                <w:szCs w:val="28"/>
                <w:lang w:eastAsia="en-US"/>
              </w:rPr>
            </w:pPr>
          </w:p>
          <w:p w:rsidR="00736078" w:rsidRDefault="00736078" w:rsidP="0098554C">
            <w:pPr>
              <w:rPr>
                <w:sz w:val="28"/>
                <w:szCs w:val="28"/>
                <w:lang w:eastAsia="en-US"/>
              </w:rPr>
            </w:pPr>
            <w:r>
              <w:rPr>
                <w:sz w:val="28"/>
                <w:szCs w:val="28"/>
                <w:lang w:eastAsia="en-US"/>
              </w:rPr>
              <w:t xml:space="preserve">   …</w:t>
            </w:r>
          </w:p>
        </w:tc>
        <w:tc>
          <w:tcPr>
            <w:tcW w:w="4386" w:type="dxa"/>
            <w:tcBorders>
              <w:top w:val="single" w:sz="4" w:space="0" w:color="auto"/>
              <w:left w:val="single" w:sz="4" w:space="0" w:color="auto"/>
              <w:bottom w:val="single" w:sz="4" w:space="0" w:color="auto"/>
              <w:right w:val="single" w:sz="4" w:space="0" w:color="auto"/>
            </w:tcBorders>
            <w:hideMark/>
          </w:tcPr>
          <w:p w:rsidR="00736078" w:rsidRDefault="00736078" w:rsidP="0098554C">
            <w:pPr>
              <w:pStyle w:val="a4"/>
              <w:ind w:firstLine="318"/>
              <w:jc w:val="both"/>
              <w:outlineLvl w:val="0"/>
              <w:rPr>
                <w:rFonts w:ascii="Times New Roman" w:hAnsi="Times New Roman" w:cs="Times New Roman"/>
                <w:sz w:val="28"/>
                <w:szCs w:val="28"/>
                <w:lang w:eastAsia="en-US"/>
              </w:rPr>
            </w:pPr>
            <w:r>
              <w:rPr>
                <w:rFonts w:ascii="Times New Roman" w:hAnsi="Times New Roman" w:cs="Times New Roman"/>
                <w:b/>
                <w:bCs/>
                <w:sz w:val="28"/>
                <w:szCs w:val="28"/>
                <w:lang w:eastAsia="en-US"/>
              </w:rPr>
              <w:t>Статья 50.</w:t>
            </w:r>
            <w:r>
              <w:rPr>
                <w:rFonts w:ascii="Times New Roman" w:hAnsi="Times New Roman" w:cs="Times New Roman"/>
                <w:sz w:val="28"/>
                <w:szCs w:val="28"/>
                <w:lang w:eastAsia="en-US"/>
              </w:rPr>
              <w:t xml:space="preserve"> Лицензирование деятельности в области оказания услуг электросвязи</w:t>
            </w:r>
          </w:p>
          <w:p w:rsidR="00736078" w:rsidRDefault="00736078" w:rsidP="0098554C">
            <w:pPr>
              <w:pStyle w:val="a4"/>
              <w:jc w:val="both"/>
              <w:outlineLvl w:val="0"/>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p>
          <w:p w:rsidR="00736078" w:rsidRDefault="00736078" w:rsidP="0098554C">
            <w:pPr>
              <w:ind w:firstLine="321"/>
              <w:rPr>
                <w:b/>
                <w:bCs/>
                <w:iCs/>
                <w:sz w:val="28"/>
                <w:szCs w:val="28"/>
                <w:lang w:eastAsia="en-US"/>
              </w:rPr>
            </w:pPr>
            <w:r>
              <w:rPr>
                <w:sz w:val="28"/>
                <w:szCs w:val="28"/>
                <w:lang w:eastAsia="en-US"/>
              </w:rPr>
              <w:t xml:space="preserve">   4. Процесс лицензирования деятельности в области электросвязи осуществляется исполнительным органом государственной власти в области электросвязи (далее – лицензирующий орган). </w:t>
            </w:r>
            <w:r>
              <w:rPr>
                <w:b/>
                <w:bCs/>
                <w:iCs/>
                <w:sz w:val="28"/>
                <w:szCs w:val="28"/>
                <w:lang w:eastAsia="en-US"/>
              </w:rPr>
              <w:t>Лицензирующий орган утверждает положение о лицензировании деятельности в области электросвязи.</w:t>
            </w:r>
          </w:p>
          <w:p w:rsidR="00736078" w:rsidRDefault="00736078" w:rsidP="0098554C">
            <w:pPr>
              <w:rPr>
                <w:sz w:val="28"/>
                <w:szCs w:val="28"/>
                <w:lang w:eastAsia="en-US"/>
              </w:rPr>
            </w:pPr>
            <w:r>
              <w:rPr>
                <w:sz w:val="28"/>
                <w:szCs w:val="28"/>
                <w:lang w:eastAsia="en-US"/>
              </w:rPr>
              <w:t xml:space="preserve">   …</w:t>
            </w:r>
          </w:p>
        </w:tc>
      </w:tr>
    </w:tbl>
    <w:p w:rsidR="005F790B" w:rsidRPr="0091069F" w:rsidRDefault="005F790B" w:rsidP="00736078">
      <w:pPr>
        <w:ind w:left="0"/>
      </w:pPr>
      <w:bookmarkStart w:id="0" w:name="_GoBack"/>
      <w:bookmarkEnd w:id="0"/>
    </w:p>
    <w:sectPr w:rsidR="005F790B" w:rsidRPr="009106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79E"/>
    <w:rsid w:val="0040279E"/>
    <w:rsid w:val="005F790B"/>
    <w:rsid w:val="007140FC"/>
    <w:rsid w:val="00736078"/>
    <w:rsid w:val="009106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327A0"/>
  <w15:chartTrackingRefBased/>
  <w15:docId w15:val="{6F661512-549D-42B1-BE50-4F6951BE1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279E"/>
    <w:pPr>
      <w:ind w:left="204"/>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279E"/>
    <w:pPr>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aliases w:val="Текст Знак Знак,Знак Знак Знак,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Знак3,Знак Зна,Зн,З"/>
    <w:basedOn w:val="a"/>
    <w:link w:val="a5"/>
    <w:rsid w:val="0040279E"/>
    <w:pPr>
      <w:ind w:left="0"/>
      <w:jc w:val="left"/>
    </w:pPr>
    <w:rPr>
      <w:rFonts w:ascii="Courier New" w:hAnsi="Courier New" w:cs="Courier New"/>
      <w:sz w:val="20"/>
      <w:szCs w:val="20"/>
    </w:rPr>
  </w:style>
  <w:style w:type="character" w:customStyle="1" w:styleId="a5">
    <w:name w:val="Текст Знак"/>
    <w:aliases w:val="Текст Знак Знак Знак,Знак Знак Знак Знак1,Знак Знак1,Знак Знак Знак Знак Знак,Знак Знак Знак1,Текст Знак2 Знак Знак,Текст Знак1 Знак1 Знак Знак,Текст Знак Знак Знак1 Знак Знак,Текст Знак1 Знак Знак Знак Знак Знак,Знак3 Знак,Знак Зна Знак"/>
    <w:basedOn w:val="a0"/>
    <w:link w:val="a4"/>
    <w:rsid w:val="0040279E"/>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560</Words>
  <Characters>3196</Characters>
  <Application>Microsoft Office Word</Application>
  <DocSecurity>0</DocSecurity>
  <Lines>26</Lines>
  <Paragraphs>7</Paragraphs>
  <ScaleCrop>false</ScaleCrop>
  <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Тодорашко Любовь Владимировна</dc:creator>
  <cp:keywords/>
  <dc:description/>
  <cp:lastModifiedBy>Тодорашко Любовь Владимировна</cp:lastModifiedBy>
  <cp:revision>5</cp:revision>
  <dcterms:created xsi:type="dcterms:W3CDTF">2026-03-30T13:53:00Z</dcterms:created>
  <dcterms:modified xsi:type="dcterms:W3CDTF">2026-03-31T08:00:00Z</dcterms:modified>
</cp:coreProperties>
</file>