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43E" w:rsidRDefault="0010443E" w:rsidP="0010443E">
      <w:pPr>
        <w:jc w:val="center"/>
        <w:rPr>
          <w:rFonts w:eastAsia="Calibri"/>
          <w:b/>
          <w:bCs/>
          <w:lang w:eastAsia="en-US"/>
        </w:rPr>
      </w:pPr>
      <w:r>
        <w:rPr>
          <w:rFonts w:eastAsia="Calibri"/>
          <w:lang w:eastAsia="en-US"/>
        </w:rPr>
        <w:t>Сравнительная таблица</w:t>
      </w:r>
    </w:p>
    <w:p w:rsidR="0010443E" w:rsidRDefault="0010443E" w:rsidP="0010443E">
      <w:pPr>
        <w:jc w:val="center"/>
        <w:rPr>
          <w:b/>
          <w:bCs/>
        </w:rPr>
      </w:pPr>
      <w:r>
        <w:t>к проекту закона Приднестровской Молдавской Республики</w:t>
      </w:r>
    </w:p>
    <w:p w:rsidR="0010443E" w:rsidRDefault="0010443E" w:rsidP="0010443E">
      <w:pPr>
        <w:jc w:val="center"/>
        <w:rPr>
          <w:b/>
        </w:rPr>
      </w:pPr>
      <w:r>
        <w:t xml:space="preserve">«О внесении изменений в Закон Приднестровской Молдавской Республики </w:t>
      </w:r>
    </w:p>
    <w:p w:rsidR="0010443E" w:rsidRDefault="0010443E" w:rsidP="0010443E">
      <w:pPr>
        <w:jc w:val="center"/>
        <w:rPr>
          <w:b/>
        </w:rPr>
      </w:pPr>
      <w:r>
        <w:t>«Специальный налоговый режим – упрощенная система налогообложения»</w:t>
      </w:r>
    </w:p>
    <w:p w:rsidR="0010443E" w:rsidRDefault="0010443E" w:rsidP="0010443E">
      <w:pPr>
        <w:jc w:val="center"/>
        <w:rPr>
          <w:b/>
        </w:rPr>
      </w:pPr>
    </w:p>
    <w:tbl>
      <w:tblPr>
        <w:tblStyle w:val="a3"/>
        <w:tblW w:w="9360" w:type="dxa"/>
        <w:tblInd w:w="-5" w:type="dxa"/>
        <w:tblLayout w:type="fixed"/>
        <w:tblLook w:val="04A0" w:firstRow="1" w:lastRow="0" w:firstColumn="1" w:lastColumn="0" w:noHBand="0" w:noVBand="1"/>
      </w:tblPr>
      <w:tblGrid>
        <w:gridCol w:w="4680"/>
        <w:gridCol w:w="4680"/>
      </w:tblGrid>
      <w:tr w:rsidR="0010443E" w:rsidTr="00F2065E">
        <w:trPr>
          <w:trHeight w:val="475"/>
        </w:trPr>
        <w:tc>
          <w:tcPr>
            <w:tcW w:w="4680" w:type="dxa"/>
            <w:tcBorders>
              <w:top w:val="single" w:sz="4" w:space="0" w:color="auto"/>
              <w:left w:val="single" w:sz="4" w:space="0" w:color="auto"/>
              <w:bottom w:val="single" w:sz="4" w:space="0" w:color="auto"/>
              <w:right w:val="single" w:sz="4" w:space="0" w:color="auto"/>
            </w:tcBorders>
            <w:vAlign w:val="center"/>
            <w:hideMark/>
          </w:tcPr>
          <w:p w:rsidR="0010443E" w:rsidRDefault="0010443E" w:rsidP="00F2065E">
            <w:pPr>
              <w:jc w:val="center"/>
              <w:rPr>
                <w:color w:val="FF0000"/>
                <w:lang w:eastAsia="en-US"/>
              </w:rPr>
            </w:pPr>
            <w:r>
              <w:rPr>
                <w:rFonts w:eastAsia="Calibri"/>
                <w:lang w:eastAsia="en-US"/>
              </w:rPr>
              <w:t>Действующая редакция</w:t>
            </w:r>
          </w:p>
        </w:tc>
        <w:tc>
          <w:tcPr>
            <w:tcW w:w="4680" w:type="dxa"/>
            <w:tcBorders>
              <w:top w:val="single" w:sz="4" w:space="0" w:color="auto"/>
              <w:left w:val="single" w:sz="4" w:space="0" w:color="auto"/>
              <w:bottom w:val="single" w:sz="4" w:space="0" w:color="auto"/>
              <w:right w:val="single" w:sz="4" w:space="0" w:color="auto"/>
            </w:tcBorders>
            <w:vAlign w:val="center"/>
            <w:hideMark/>
          </w:tcPr>
          <w:p w:rsidR="0010443E" w:rsidRDefault="0010443E" w:rsidP="00F2065E">
            <w:pPr>
              <w:jc w:val="center"/>
              <w:rPr>
                <w:lang w:eastAsia="en-US"/>
              </w:rPr>
            </w:pPr>
            <w:r>
              <w:rPr>
                <w:rFonts w:eastAsia="Calibri"/>
                <w:lang w:eastAsia="en-US"/>
              </w:rPr>
              <w:t>Предлагаемая редакция</w:t>
            </w:r>
          </w:p>
        </w:tc>
      </w:tr>
      <w:tr w:rsidR="0010443E" w:rsidTr="00F2065E">
        <w:trPr>
          <w:trHeight w:val="629"/>
        </w:trPr>
        <w:tc>
          <w:tcPr>
            <w:tcW w:w="4680" w:type="dxa"/>
            <w:tcBorders>
              <w:top w:val="single" w:sz="4" w:space="0" w:color="auto"/>
              <w:left w:val="single" w:sz="4" w:space="0" w:color="auto"/>
              <w:bottom w:val="single" w:sz="4" w:space="0" w:color="auto"/>
              <w:right w:val="single" w:sz="4" w:space="0" w:color="auto"/>
            </w:tcBorders>
          </w:tcPr>
          <w:p w:rsidR="0010443E" w:rsidRDefault="0010443E" w:rsidP="00F2065E">
            <w:pPr>
              <w:ind w:firstLine="589"/>
              <w:jc w:val="both"/>
              <w:rPr>
                <w:b/>
                <w:bCs/>
                <w:lang w:eastAsia="en-US"/>
              </w:rPr>
            </w:pPr>
            <w:r>
              <w:rPr>
                <w:lang w:eastAsia="en-US"/>
              </w:rPr>
              <w:t>Статья 1. Общие положения</w:t>
            </w:r>
          </w:p>
          <w:p w:rsidR="0010443E" w:rsidRDefault="0010443E" w:rsidP="00F2065E">
            <w:pPr>
              <w:ind w:firstLine="596"/>
              <w:jc w:val="both"/>
              <w:rPr>
                <w:b/>
                <w:bCs/>
                <w:lang w:eastAsia="en-US"/>
              </w:rPr>
            </w:pPr>
            <w:r>
              <w:rPr>
                <w:lang w:eastAsia="en-US"/>
              </w:rPr>
              <w:t>…</w:t>
            </w:r>
          </w:p>
          <w:p w:rsidR="0010443E" w:rsidRDefault="0010443E" w:rsidP="00F2065E">
            <w:pPr>
              <w:ind w:firstLine="720"/>
              <w:jc w:val="both"/>
              <w:rPr>
                <w:b/>
                <w:bCs/>
                <w:lang w:eastAsia="en-US"/>
              </w:rPr>
            </w:pPr>
            <w:r>
              <w:rPr>
                <w:lang w:eastAsia="en-US"/>
              </w:rPr>
              <w:t>2. Применение упрощенной системы налогообложения организациями и индивидуальными предпринимателями, подпадающими под действие настоящего Закона, предусматривает замену уплаты налога на доходы организаций, единого социального налога, налога на содержание жилищного фонда, объектов социально-культурной сферы и благоустройство территорий города (района) уплатой налогов по упрощенной системе налогообложения.</w:t>
            </w:r>
          </w:p>
          <w:p w:rsidR="0010443E" w:rsidRDefault="0010443E" w:rsidP="00F2065E">
            <w:pPr>
              <w:ind w:firstLine="720"/>
              <w:jc w:val="both"/>
              <w:rPr>
                <w:lang w:eastAsia="en-US"/>
              </w:rPr>
            </w:pPr>
            <w:r>
              <w:rPr>
                <w:lang w:eastAsia="en-US"/>
              </w:rPr>
              <w:t>Иные налоги и сборы уплачиваются организациями и индивидуальными предпринимателями, применяющими упрощенную систему налогообложения, в соответствии с действующим законодательством Приднестровской Молдавской Республики.</w:t>
            </w:r>
          </w:p>
          <w:p w:rsidR="0010443E" w:rsidRDefault="0010443E" w:rsidP="00F2065E">
            <w:pPr>
              <w:ind w:firstLine="708"/>
              <w:rPr>
                <w:b/>
                <w:bCs/>
                <w:lang w:eastAsia="en-US"/>
              </w:rPr>
            </w:pPr>
            <w:r>
              <w:rPr>
                <w:lang w:eastAsia="en-US"/>
              </w:rPr>
              <w:t>…</w:t>
            </w:r>
          </w:p>
          <w:p w:rsidR="0010443E" w:rsidRDefault="0010443E" w:rsidP="00F2065E">
            <w:pPr>
              <w:ind w:firstLine="720"/>
              <w:jc w:val="both"/>
              <w:rPr>
                <w:b/>
                <w:bCs/>
                <w:lang w:eastAsia="en-US"/>
              </w:rPr>
            </w:pPr>
            <w:r>
              <w:rPr>
                <w:lang w:eastAsia="en-US"/>
              </w:rPr>
              <w:t xml:space="preserve">Статья 7. Порядок уплаты единого социального налога организацией и индивидуальным предпринимателем, применяющими упрощенную систему налогообложения </w:t>
            </w:r>
          </w:p>
          <w:p w:rsidR="0010443E" w:rsidRDefault="0010443E" w:rsidP="00F2065E">
            <w:pPr>
              <w:ind w:firstLine="709"/>
              <w:jc w:val="both"/>
              <w:rPr>
                <w:b/>
                <w:bCs/>
                <w:lang w:eastAsia="en-US"/>
              </w:rPr>
            </w:pPr>
            <w:r>
              <w:rPr>
                <w:lang w:eastAsia="en-US"/>
              </w:rPr>
              <w:t xml:space="preserve">Объектами налогообложения единым социальным налогом признаются выплаты и иные вознаграждения, начисляемые по всем основаниям в пользу физических лиц, входящих в списочную численность работников организации (за исключением договоров гражданско-правового характера </w:t>
            </w:r>
            <w:r>
              <w:rPr>
                <w:lang w:eastAsia="en-US"/>
              </w:rPr>
              <w:br/>
              <w:t xml:space="preserve">с индивидуальными предпринимателями), и привлекаемых лиц индивидуального предпринимателя, состоящих (состоявших в течение отчетного периода) в трудовых и гражданско-правовых отношениях, в отношениях по договорам гражданско-правового характера, а также </w:t>
            </w:r>
            <w:r>
              <w:rPr>
                <w:lang w:eastAsia="en-US"/>
              </w:rPr>
              <w:lastRenderedPageBreak/>
              <w:t>ежемесячный доход индивидуального предпринимателя, полученный от осуществления предпринимательской деятельности.</w:t>
            </w:r>
          </w:p>
          <w:p w:rsidR="0010443E" w:rsidRDefault="0010443E" w:rsidP="00F2065E">
            <w:pPr>
              <w:ind w:firstLine="709"/>
              <w:jc w:val="both"/>
              <w:rPr>
                <w:b/>
                <w:bCs/>
                <w:lang w:eastAsia="en-US"/>
              </w:rPr>
            </w:pPr>
            <w:r>
              <w:rPr>
                <w:lang w:eastAsia="en-US"/>
              </w:rPr>
              <w:t xml:space="preserve">Для целей настоящей статьи величина всех ежемесячных выплат </w:t>
            </w:r>
            <w:r>
              <w:rPr>
                <w:lang w:eastAsia="en-US"/>
              </w:rPr>
              <w:br/>
              <w:t xml:space="preserve">и вознаграждений, а также ежемесячный доход индивидуального предпринимателя от осуществления предпринимательской деятельности, независимо от количества отработанного времени, принимаются в размере 1 (одного) минимального размера оплаты труда (далее по тексту – МРОТ) </w:t>
            </w:r>
            <w:r>
              <w:rPr>
                <w:lang w:eastAsia="en-US"/>
              </w:rPr>
              <w:br/>
              <w:t>в базовом значении без учета понижающих (повышающих) коэффициентов, устанавливаемых для исчисления заработной платы, в отношении индивидуального предпринимателя и каждого привлеченного индивидуальным предпринимателем лица, состоящего с ним в отношениях по договорам гражданско-правового характера.</w:t>
            </w:r>
          </w:p>
          <w:p w:rsidR="0010443E" w:rsidRDefault="0010443E" w:rsidP="00F2065E">
            <w:pPr>
              <w:ind w:firstLine="709"/>
              <w:jc w:val="both"/>
              <w:rPr>
                <w:lang w:eastAsia="en-US"/>
              </w:rPr>
            </w:pPr>
            <w:r>
              <w:rPr>
                <w:lang w:eastAsia="en-US"/>
              </w:rPr>
              <w:t xml:space="preserve">Для юридических лиц величина всех ежемесячных выплат и вознаграждений, за исключением указанных в части седьмой настоящей статьи, принимается в размере 2 (двух) МРОТ в базовом значении без учета понижающих (повышающих) коэффициентов, устанавливаемых для исчисления заработной платы, по каждому физическому лицу, состоящему (состоявшему в течение отчетного периода) с организацией в трудовых отношениях, в отношениях по договорам гражданско-правового характера, независимо от количества отработанного времени, при условии </w:t>
            </w:r>
            <w:proofErr w:type="spellStart"/>
            <w:r>
              <w:rPr>
                <w:lang w:eastAsia="en-US"/>
              </w:rPr>
              <w:t>непревышения</w:t>
            </w:r>
            <w:proofErr w:type="spellEnd"/>
            <w:r>
              <w:rPr>
                <w:lang w:eastAsia="en-US"/>
              </w:rPr>
              <w:t xml:space="preserve"> величины всех выплат и вознаграждений (за исключением указанных в части седьмой настоящей статьи) соответствующему физическому лицу предела 1 500 (тысячи пятисот) РУ МЗП. В случае превышения предельной величины всех ежемесячных выплат и вознаграждений, начисленных по всем основаниям в пользу конкретного физического лица, размера 1 500 (тысячи пятисот) РУ МЗП, объектом налогообложения единым социальным </w:t>
            </w:r>
            <w:r>
              <w:rPr>
                <w:lang w:eastAsia="en-US"/>
              </w:rPr>
              <w:lastRenderedPageBreak/>
              <w:t>налогом для юридических лиц признаются:</w:t>
            </w:r>
          </w:p>
          <w:p w:rsidR="0010443E" w:rsidRDefault="0010443E" w:rsidP="00F2065E">
            <w:pPr>
              <w:ind w:firstLine="709"/>
              <w:jc w:val="both"/>
              <w:rPr>
                <w:lang w:eastAsia="en-US"/>
              </w:rPr>
            </w:pPr>
            <w:r>
              <w:rPr>
                <w:lang w:eastAsia="en-US"/>
              </w:rPr>
              <w:t>а) 2 (два) МРОТ в базовом значении без учета понижающих (повышающих) коэффициентов, устанавливаемых для исчисления заработной платы, в части ежемесячных выплат и вознаграждений, совокупный размер которых не превышает 1 500 (тысячи пятисот) РУ МЗП;</w:t>
            </w:r>
          </w:p>
          <w:p w:rsidR="0010443E" w:rsidRDefault="0010443E" w:rsidP="00F2065E">
            <w:pPr>
              <w:ind w:firstLine="709"/>
              <w:jc w:val="both"/>
              <w:rPr>
                <w:lang w:eastAsia="en-US"/>
              </w:rPr>
            </w:pPr>
            <w:r>
              <w:rPr>
                <w:lang w:eastAsia="en-US"/>
              </w:rPr>
              <w:t>б) фактические выплаты и иные вознаграждения, начисляемые по всем основаниям (за исключением указанных в части седьмой настоящей статьи) в пользу данного физического лица, превышающие установленный настоящей частью предел.</w:t>
            </w:r>
          </w:p>
          <w:p w:rsidR="0010443E" w:rsidRDefault="0010443E" w:rsidP="00F2065E">
            <w:pPr>
              <w:ind w:firstLine="709"/>
              <w:jc w:val="both"/>
              <w:rPr>
                <w:b/>
                <w:bCs/>
                <w:lang w:eastAsia="en-US"/>
              </w:rPr>
            </w:pPr>
            <w:r>
              <w:rPr>
                <w:lang w:eastAsia="en-US"/>
              </w:rPr>
              <w:t>В целях определения предельной величины всех выплат и вознаграждений в размере 1 500 (тысячи пятисот) РУ МЗП применяется РУ МЗП в размере, применяемом для исчисления предельного размера налогооблагаемого дохода, установленного Приложением к настоящему Закону.</w:t>
            </w:r>
          </w:p>
          <w:p w:rsidR="0010443E" w:rsidRDefault="0010443E" w:rsidP="00F2065E">
            <w:pPr>
              <w:ind w:firstLine="709"/>
              <w:jc w:val="both"/>
              <w:rPr>
                <w:b/>
                <w:bCs/>
                <w:lang w:eastAsia="en-US"/>
              </w:rPr>
            </w:pPr>
            <w:r>
              <w:rPr>
                <w:lang w:eastAsia="en-US"/>
              </w:rPr>
              <w:t>…</w:t>
            </w:r>
          </w:p>
          <w:p w:rsidR="0010443E" w:rsidRDefault="0010443E" w:rsidP="00F2065E">
            <w:pPr>
              <w:ind w:firstLine="709"/>
              <w:jc w:val="both"/>
              <w:rPr>
                <w:b/>
                <w:lang w:eastAsia="en-US"/>
              </w:rPr>
            </w:pPr>
          </w:p>
          <w:p w:rsidR="0010443E" w:rsidRDefault="0010443E" w:rsidP="00F2065E">
            <w:pPr>
              <w:ind w:firstLine="709"/>
              <w:jc w:val="both"/>
              <w:rPr>
                <w:b/>
                <w:bCs/>
                <w:lang w:eastAsia="en-US"/>
              </w:rPr>
            </w:pPr>
          </w:p>
        </w:tc>
        <w:tc>
          <w:tcPr>
            <w:tcW w:w="4680" w:type="dxa"/>
            <w:tcBorders>
              <w:top w:val="single" w:sz="4" w:space="0" w:color="auto"/>
              <w:left w:val="single" w:sz="4" w:space="0" w:color="auto"/>
              <w:bottom w:val="single" w:sz="4" w:space="0" w:color="auto"/>
              <w:right w:val="single" w:sz="4" w:space="0" w:color="auto"/>
            </w:tcBorders>
          </w:tcPr>
          <w:p w:rsidR="0010443E" w:rsidRDefault="0010443E" w:rsidP="00F2065E">
            <w:pPr>
              <w:ind w:firstLine="589"/>
              <w:jc w:val="both"/>
              <w:rPr>
                <w:b/>
                <w:bCs/>
                <w:lang w:eastAsia="en-US"/>
              </w:rPr>
            </w:pPr>
            <w:r>
              <w:rPr>
                <w:lang w:eastAsia="en-US"/>
              </w:rPr>
              <w:lastRenderedPageBreak/>
              <w:t>Статья 1. Общие положения</w:t>
            </w:r>
          </w:p>
          <w:p w:rsidR="0010443E" w:rsidRDefault="0010443E" w:rsidP="00F2065E">
            <w:pPr>
              <w:ind w:firstLine="596"/>
              <w:jc w:val="both"/>
              <w:rPr>
                <w:b/>
                <w:bCs/>
                <w:lang w:eastAsia="en-US"/>
              </w:rPr>
            </w:pPr>
            <w:r>
              <w:rPr>
                <w:lang w:eastAsia="en-US"/>
              </w:rPr>
              <w:t>…</w:t>
            </w:r>
          </w:p>
          <w:p w:rsidR="0010443E" w:rsidRDefault="0010443E" w:rsidP="00F2065E">
            <w:pPr>
              <w:ind w:firstLine="720"/>
              <w:jc w:val="both"/>
              <w:rPr>
                <w:b/>
                <w:lang w:eastAsia="en-US"/>
              </w:rPr>
            </w:pPr>
            <w:r>
              <w:rPr>
                <w:lang w:eastAsia="en-US"/>
              </w:rPr>
              <w:t>2. Применение упрощенной системы налогообложения организациями и индивидуальными предпринимателями, подпадающими под действие настоящего Закона, предусматривает замену уплаты налога на доходы организаций, единого социального налога, подоходного налога с физических лиц уплатой налогов по упрощенной системе налогообложения.</w:t>
            </w:r>
          </w:p>
          <w:p w:rsidR="0010443E" w:rsidRDefault="0010443E" w:rsidP="00F2065E">
            <w:pPr>
              <w:ind w:firstLine="720"/>
              <w:jc w:val="both"/>
              <w:rPr>
                <w:b/>
                <w:bCs/>
                <w:lang w:eastAsia="en-US"/>
              </w:rPr>
            </w:pPr>
          </w:p>
          <w:p w:rsidR="0010443E" w:rsidRDefault="0010443E" w:rsidP="00F2065E">
            <w:pPr>
              <w:ind w:firstLine="720"/>
              <w:jc w:val="both"/>
              <w:rPr>
                <w:b/>
                <w:bCs/>
                <w:lang w:eastAsia="en-US"/>
              </w:rPr>
            </w:pPr>
            <w:r>
              <w:rPr>
                <w:lang w:eastAsia="en-US"/>
              </w:rPr>
              <w:t xml:space="preserve"> </w:t>
            </w:r>
          </w:p>
          <w:p w:rsidR="0010443E" w:rsidRDefault="0010443E" w:rsidP="00F2065E">
            <w:pPr>
              <w:ind w:firstLine="720"/>
              <w:jc w:val="both"/>
              <w:rPr>
                <w:b/>
                <w:bCs/>
                <w:lang w:eastAsia="en-US"/>
              </w:rPr>
            </w:pPr>
          </w:p>
          <w:p w:rsidR="0010443E" w:rsidRDefault="0010443E" w:rsidP="00F2065E">
            <w:pPr>
              <w:ind w:firstLine="720"/>
              <w:jc w:val="both"/>
              <w:rPr>
                <w:b/>
                <w:lang w:eastAsia="en-US"/>
              </w:rPr>
            </w:pPr>
            <w:r>
              <w:rPr>
                <w:lang w:eastAsia="en-US"/>
              </w:rPr>
              <w:t>Иные налоги и сборы уплачиваются организациями и индивидуальными предпринимателями, применяющими упрощенную систему налогообложения, в соответствии с общим налоговым режимом.</w:t>
            </w:r>
          </w:p>
          <w:p w:rsidR="0010443E" w:rsidRDefault="0010443E" w:rsidP="00F2065E">
            <w:pPr>
              <w:ind w:firstLine="720"/>
              <w:jc w:val="both"/>
              <w:rPr>
                <w:b/>
                <w:bCs/>
                <w:lang w:eastAsia="en-US"/>
              </w:rPr>
            </w:pPr>
          </w:p>
          <w:p w:rsidR="0010443E" w:rsidRDefault="0010443E" w:rsidP="00F2065E">
            <w:pPr>
              <w:ind w:firstLine="720"/>
              <w:jc w:val="both"/>
              <w:rPr>
                <w:b/>
                <w:bCs/>
                <w:lang w:eastAsia="en-US"/>
              </w:rPr>
            </w:pPr>
            <w:r>
              <w:rPr>
                <w:lang w:eastAsia="en-US"/>
              </w:rPr>
              <w:t>…</w:t>
            </w:r>
          </w:p>
          <w:p w:rsidR="0010443E" w:rsidRDefault="0010443E" w:rsidP="00F2065E">
            <w:pPr>
              <w:ind w:firstLine="720"/>
              <w:jc w:val="both"/>
              <w:rPr>
                <w:b/>
                <w:bCs/>
                <w:lang w:eastAsia="en-US"/>
              </w:rPr>
            </w:pPr>
            <w:r>
              <w:rPr>
                <w:lang w:eastAsia="en-US"/>
              </w:rPr>
              <w:t xml:space="preserve">Статья 7. Порядок уплаты единого социального налога организацией и индивидуальным предпринимателем, применяющими упрощенную систему налогообложения </w:t>
            </w:r>
          </w:p>
          <w:p w:rsidR="0010443E" w:rsidRDefault="0010443E" w:rsidP="00F2065E">
            <w:pPr>
              <w:ind w:firstLine="709"/>
              <w:jc w:val="both"/>
              <w:rPr>
                <w:b/>
                <w:bCs/>
                <w:lang w:eastAsia="en-US"/>
              </w:rPr>
            </w:pPr>
            <w:r>
              <w:rPr>
                <w:lang w:eastAsia="en-US"/>
              </w:rPr>
              <w:t xml:space="preserve">Объектами налогообложения единым социальным налогом признаются выплаты и иные вознаграждения, начисляемые по всем основаниям в пользу физических лиц, входящих в списочную численность работников организации (за исключением договоров гражданско-правового характера </w:t>
            </w:r>
            <w:r>
              <w:rPr>
                <w:lang w:eastAsia="en-US"/>
              </w:rPr>
              <w:br/>
              <w:t xml:space="preserve">с индивидуальными предпринимателями), и привлекаемых лиц индивидуального предпринимателя, состоящих (состоявших в течение отчетного периода) в трудовых и гражданско-правовых отношениях, в отношениях по договорам гражданско-правового характера, а также ежемесячный доход индивидуального </w:t>
            </w:r>
            <w:r>
              <w:rPr>
                <w:lang w:eastAsia="en-US"/>
              </w:rPr>
              <w:lastRenderedPageBreak/>
              <w:t>предпринимателя, полученный от осуществления предпринимательской деятельности.</w:t>
            </w:r>
          </w:p>
          <w:p w:rsidR="0010443E" w:rsidRDefault="0010443E" w:rsidP="00F2065E">
            <w:pPr>
              <w:ind w:firstLine="720"/>
              <w:jc w:val="both"/>
              <w:rPr>
                <w:b/>
                <w:bCs/>
                <w:lang w:eastAsia="en-US"/>
              </w:rPr>
            </w:pPr>
            <w:r>
              <w:rPr>
                <w:lang w:eastAsia="en-US"/>
              </w:rPr>
              <w:t xml:space="preserve">Для целей настоящей статьи величина всех ежемесячных выплат </w:t>
            </w:r>
            <w:r>
              <w:rPr>
                <w:lang w:eastAsia="en-US"/>
              </w:rPr>
              <w:br/>
              <w:t xml:space="preserve">и вознаграждений, а также ежемесячный доход индивидуального предпринимателя от осуществления предпринимательской деятельности, независимо от количества отработанного времени, принимаются в размере 1 (одного) минимального размера оплаты труда (далее по тексту – МРОТ) </w:t>
            </w:r>
            <w:r>
              <w:rPr>
                <w:lang w:eastAsia="en-US"/>
              </w:rPr>
              <w:br/>
              <w:t>в базовом значении без учета понижающих (повышающих) коэффициентов, устанавливаемых для исчисления заработной платы, в отношении индивидуального предпринимателя и каждого привлеченного индивидуальным предпринимателем лица, состоящего с ним в отношениях по договорам гражданско-правового характера.</w:t>
            </w:r>
          </w:p>
          <w:p w:rsidR="0010443E" w:rsidRDefault="0010443E" w:rsidP="00F2065E">
            <w:pPr>
              <w:ind w:firstLine="720"/>
              <w:jc w:val="both"/>
              <w:rPr>
                <w:b/>
                <w:bCs/>
                <w:lang w:eastAsia="en-US"/>
              </w:rPr>
            </w:pPr>
            <w:r>
              <w:rPr>
                <w:lang w:eastAsia="en-US"/>
              </w:rPr>
              <w:t>Для юридических лиц величина всех ежемесячных выплат и вознаграждений (за исключением указанных в части седьмой настоящей статьи) принимается в размере фактических выплат и иных вознаграждений, начисляемых по всем основаниям в пользу физических лиц, входящих в списочную численность работников организации (за исключением выплат по договорам гражданско-правового характера с индивидуальными предпринимателями).</w:t>
            </w: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ind w:firstLine="720"/>
              <w:jc w:val="both"/>
              <w:rPr>
                <w:b/>
                <w:bCs/>
                <w:lang w:eastAsia="en-US"/>
              </w:rPr>
            </w:pPr>
          </w:p>
          <w:p w:rsidR="0010443E" w:rsidRDefault="0010443E" w:rsidP="00F2065E">
            <w:pPr>
              <w:jc w:val="both"/>
              <w:rPr>
                <w:b/>
                <w:bCs/>
                <w:lang w:eastAsia="en-US"/>
              </w:rPr>
            </w:pPr>
          </w:p>
          <w:p w:rsidR="0010443E" w:rsidRDefault="0010443E" w:rsidP="00F2065E">
            <w:pPr>
              <w:ind w:left="745"/>
              <w:jc w:val="both"/>
              <w:rPr>
                <w:lang w:eastAsia="en-US"/>
              </w:rPr>
            </w:pPr>
          </w:p>
          <w:p w:rsidR="0010443E" w:rsidRDefault="0010443E" w:rsidP="00F2065E">
            <w:pPr>
              <w:ind w:left="745"/>
              <w:jc w:val="both"/>
              <w:rPr>
                <w:lang w:eastAsia="en-US"/>
              </w:rPr>
            </w:pPr>
          </w:p>
          <w:p w:rsidR="0010443E" w:rsidRDefault="0010443E" w:rsidP="00F2065E">
            <w:pPr>
              <w:ind w:left="745"/>
              <w:jc w:val="both"/>
              <w:rPr>
                <w:lang w:eastAsia="en-US"/>
              </w:rPr>
            </w:pPr>
          </w:p>
          <w:p w:rsidR="0010443E" w:rsidRDefault="0010443E" w:rsidP="00F2065E">
            <w:pPr>
              <w:ind w:left="745"/>
              <w:jc w:val="both"/>
              <w:rPr>
                <w:lang w:eastAsia="en-US"/>
              </w:rPr>
            </w:pPr>
          </w:p>
          <w:p w:rsidR="0010443E" w:rsidRDefault="0010443E" w:rsidP="00F2065E">
            <w:pPr>
              <w:ind w:left="745"/>
              <w:jc w:val="both"/>
              <w:rPr>
                <w:lang w:eastAsia="en-US"/>
              </w:rPr>
            </w:pPr>
          </w:p>
          <w:p w:rsidR="0010443E" w:rsidRDefault="0010443E" w:rsidP="00F2065E">
            <w:pPr>
              <w:ind w:left="745"/>
              <w:jc w:val="both"/>
              <w:rPr>
                <w:lang w:eastAsia="en-US"/>
              </w:rPr>
            </w:pPr>
          </w:p>
          <w:p w:rsidR="0010443E" w:rsidRDefault="0010443E" w:rsidP="00F2065E">
            <w:pPr>
              <w:ind w:left="745"/>
              <w:jc w:val="both"/>
              <w:rPr>
                <w:lang w:eastAsia="en-US"/>
              </w:rPr>
            </w:pPr>
          </w:p>
          <w:p w:rsidR="0010443E" w:rsidRDefault="0010443E" w:rsidP="00F2065E">
            <w:pPr>
              <w:ind w:left="745"/>
              <w:jc w:val="both"/>
              <w:rPr>
                <w:lang w:eastAsia="en-US"/>
              </w:rPr>
            </w:pPr>
          </w:p>
          <w:p w:rsidR="0010443E" w:rsidRDefault="0010443E" w:rsidP="00F2065E">
            <w:pPr>
              <w:ind w:left="745"/>
              <w:jc w:val="both"/>
              <w:rPr>
                <w:lang w:eastAsia="en-US"/>
              </w:rPr>
            </w:pPr>
            <w:r>
              <w:rPr>
                <w:lang w:eastAsia="en-US"/>
              </w:rPr>
              <w:t>Исключит</w:t>
            </w:r>
            <w:r w:rsidRPr="00233159">
              <w:rPr>
                <w:lang w:eastAsia="en-US"/>
              </w:rPr>
              <w:t>ь.</w:t>
            </w:r>
          </w:p>
          <w:p w:rsidR="0010443E" w:rsidRDefault="0010443E" w:rsidP="00F2065E">
            <w:pPr>
              <w:jc w:val="both"/>
              <w:rPr>
                <w:b/>
                <w:bCs/>
                <w:lang w:eastAsia="en-US"/>
              </w:rPr>
            </w:pPr>
          </w:p>
          <w:p w:rsidR="0010443E" w:rsidRDefault="0010443E" w:rsidP="00F2065E">
            <w:pPr>
              <w:jc w:val="both"/>
              <w:rPr>
                <w:b/>
                <w:bCs/>
                <w:lang w:eastAsia="en-US"/>
              </w:rPr>
            </w:pPr>
          </w:p>
          <w:p w:rsidR="0010443E" w:rsidRDefault="0010443E" w:rsidP="00F2065E">
            <w:pPr>
              <w:jc w:val="both"/>
              <w:rPr>
                <w:b/>
                <w:bCs/>
                <w:lang w:eastAsia="en-US"/>
              </w:rPr>
            </w:pPr>
          </w:p>
          <w:p w:rsidR="0010443E" w:rsidRDefault="0010443E" w:rsidP="00F2065E">
            <w:pPr>
              <w:jc w:val="both"/>
              <w:rPr>
                <w:b/>
                <w:bCs/>
                <w:lang w:eastAsia="en-US"/>
              </w:rPr>
            </w:pPr>
          </w:p>
          <w:p w:rsidR="0010443E" w:rsidRDefault="0010443E" w:rsidP="00F2065E">
            <w:pPr>
              <w:jc w:val="both"/>
              <w:rPr>
                <w:b/>
                <w:bCs/>
                <w:lang w:eastAsia="en-US"/>
              </w:rPr>
            </w:pPr>
          </w:p>
          <w:p w:rsidR="0010443E" w:rsidRDefault="0010443E" w:rsidP="00F2065E">
            <w:pPr>
              <w:jc w:val="both"/>
              <w:rPr>
                <w:b/>
                <w:bCs/>
                <w:lang w:eastAsia="en-US"/>
              </w:rPr>
            </w:pPr>
          </w:p>
          <w:p w:rsidR="0010443E" w:rsidRDefault="0010443E" w:rsidP="00F2065E">
            <w:pPr>
              <w:jc w:val="both"/>
              <w:rPr>
                <w:b/>
                <w:bCs/>
                <w:lang w:eastAsia="en-US"/>
              </w:rPr>
            </w:pPr>
          </w:p>
          <w:p w:rsidR="0010443E" w:rsidRDefault="0010443E" w:rsidP="00F2065E">
            <w:pPr>
              <w:ind w:firstLine="709"/>
              <w:jc w:val="both"/>
              <w:rPr>
                <w:b/>
                <w:bCs/>
                <w:lang w:eastAsia="en-US"/>
              </w:rPr>
            </w:pPr>
            <w:r>
              <w:rPr>
                <w:lang w:eastAsia="en-US"/>
              </w:rPr>
              <w:t>…</w:t>
            </w:r>
          </w:p>
          <w:p w:rsidR="0010443E" w:rsidRDefault="0010443E" w:rsidP="00F2065E">
            <w:pPr>
              <w:ind w:firstLine="709"/>
              <w:jc w:val="both"/>
              <w:rPr>
                <w:b/>
                <w:bCs/>
                <w:lang w:eastAsia="en-US"/>
              </w:rPr>
            </w:pPr>
          </w:p>
        </w:tc>
      </w:tr>
    </w:tbl>
    <w:p w:rsidR="008926AE" w:rsidRPr="00BF25F5" w:rsidRDefault="008926AE" w:rsidP="00BF25F5">
      <w:pPr>
        <w:rPr>
          <w:rFonts w:eastAsia="Calibri"/>
        </w:rPr>
      </w:pPr>
      <w:bookmarkStart w:id="0" w:name="_GoBack"/>
      <w:bookmarkEnd w:id="0"/>
    </w:p>
    <w:sectPr w:rsidR="008926AE" w:rsidRPr="00BF2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22EA6"/>
    <w:rsid w:val="00051996"/>
    <w:rsid w:val="000C1AB0"/>
    <w:rsid w:val="0010443E"/>
    <w:rsid w:val="00147B5A"/>
    <w:rsid w:val="001764E8"/>
    <w:rsid w:val="00336B91"/>
    <w:rsid w:val="0040279E"/>
    <w:rsid w:val="004204C5"/>
    <w:rsid w:val="005669D6"/>
    <w:rsid w:val="005F0727"/>
    <w:rsid w:val="005F790B"/>
    <w:rsid w:val="0062219E"/>
    <w:rsid w:val="006F2894"/>
    <w:rsid w:val="007140FC"/>
    <w:rsid w:val="0072713F"/>
    <w:rsid w:val="00736078"/>
    <w:rsid w:val="00745731"/>
    <w:rsid w:val="007C3B6C"/>
    <w:rsid w:val="00853717"/>
    <w:rsid w:val="008926AE"/>
    <w:rsid w:val="0091069F"/>
    <w:rsid w:val="00945F4B"/>
    <w:rsid w:val="00947364"/>
    <w:rsid w:val="009C0CBA"/>
    <w:rsid w:val="00A500D1"/>
    <w:rsid w:val="00B62C7E"/>
    <w:rsid w:val="00B90E5E"/>
    <w:rsid w:val="00BF25F5"/>
    <w:rsid w:val="00C30585"/>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960</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33</cp:revision>
  <dcterms:created xsi:type="dcterms:W3CDTF">2026-03-30T13:53:00Z</dcterms:created>
  <dcterms:modified xsi:type="dcterms:W3CDTF">2026-04-27T07:07:00Z</dcterms:modified>
</cp:coreProperties>
</file>