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A4" w:rsidRPr="00A32DA4" w:rsidRDefault="00A32DA4" w:rsidP="00A32DA4">
      <w:pPr>
        <w:spacing w:after="160"/>
        <w:ind w:left="0"/>
        <w:contextualSpacing/>
        <w:jc w:val="center"/>
        <w:rPr>
          <w:rFonts w:eastAsia="Calibri"/>
          <w:lang w:eastAsia="en-US"/>
        </w:rPr>
      </w:pPr>
      <w:r w:rsidRPr="00A32DA4">
        <w:rPr>
          <w:rFonts w:eastAsia="Calibri"/>
          <w:lang w:eastAsia="en-US"/>
        </w:rPr>
        <w:t>СРАВНИТЕЛЬНАЯ ТАБЛИЦА</w:t>
      </w:r>
    </w:p>
    <w:p w:rsidR="00A32DA4" w:rsidRPr="00A32DA4" w:rsidRDefault="00A32DA4" w:rsidP="00A32DA4">
      <w:pPr>
        <w:spacing w:after="160"/>
        <w:ind w:left="0"/>
        <w:contextualSpacing/>
        <w:jc w:val="center"/>
        <w:rPr>
          <w:rFonts w:eastAsia="Calibri"/>
          <w:lang w:eastAsia="en-US"/>
        </w:rPr>
      </w:pPr>
      <w:r w:rsidRPr="00A32DA4">
        <w:rPr>
          <w:rFonts w:eastAsia="Calibri"/>
          <w:lang w:eastAsia="en-US"/>
        </w:rPr>
        <w:t>к проекту закона Приднестровской Молдавской Республики</w:t>
      </w:r>
    </w:p>
    <w:p w:rsidR="00A32DA4" w:rsidRPr="00A32DA4" w:rsidRDefault="00A32DA4" w:rsidP="00A32DA4">
      <w:pPr>
        <w:spacing w:after="160"/>
        <w:ind w:left="0"/>
        <w:contextualSpacing/>
        <w:jc w:val="center"/>
        <w:rPr>
          <w:bCs/>
        </w:rPr>
      </w:pPr>
      <w:r w:rsidRPr="00A32DA4">
        <w:rPr>
          <w:bCs/>
        </w:rPr>
        <w:t xml:space="preserve">«О внесении изменений в Закон Приднестровской Молдавской Республики </w:t>
      </w:r>
    </w:p>
    <w:p w:rsidR="00A32DA4" w:rsidRPr="00A32DA4" w:rsidRDefault="00A32DA4" w:rsidP="00A32DA4">
      <w:pPr>
        <w:spacing w:after="160"/>
        <w:ind w:left="0"/>
        <w:contextualSpacing/>
        <w:jc w:val="center"/>
        <w:rPr>
          <w:bCs/>
        </w:rPr>
      </w:pPr>
      <w:r w:rsidRPr="00A32DA4">
        <w:rPr>
          <w:bCs/>
        </w:rPr>
        <w:t>«Об основах налоговой системы в Приднестровской Молдавской Республике»</w:t>
      </w:r>
    </w:p>
    <w:p w:rsidR="00A32DA4" w:rsidRPr="00A32DA4" w:rsidRDefault="00A32DA4" w:rsidP="00A32DA4">
      <w:pPr>
        <w:spacing w:after="160"/>
        <w:ind w:left="0"/>
        <w:contextualSpacing/>
        <w:jc w:val="center"/>
        <w:rPr>
          <w:rFonts w:eastAsia="Calibri"/>
          <w:lang w:eastAsia="en-US"/>
        </w:rPr>
      </w:pPr>
    </w:p>
    <w:tbl>
      <w:tblPr>
        <w:tblStyle w:val="4"/>
        <w:tblW w:w="9639" w:type="dxa"/>
        <w:tblInd w:w="-5" w:type="dxa"/>
        <w:tblLayout w:type="fixed"/>
        <w:tblLook w:val="04A0" w:firstRow="1" w:lastRow="0" w:firstColumn="1" w:lastColumn="0" w:noHBand="0" w:noVBand="1"/>
      </w:tblPr>
      <w:tblGrid>
        <w:gridCol w:w="4820"/>
        <w:gridCol w:w="4819"/>
      </w:tblGrid>
      <w:tr w:rsidR="00A32DA4" w:rsidRPr="00A32DA4" w:rsidTr="00F2065E">
        <w:trPr>
          <w:trHeight w:val="475"/>
        </w:trPr>
        <w:tc>
          <w:tcPr>
            <w:tcW w:w="4820" w:type="dxa"/>
            <w:vAlign w:val="center"/>
          </w:tcPr>
          <w:p w:rsidR="00A32DA4" w:rsidRPr="00A32DA4" w:rsidRDefault="00A32DA4" w:rsidP="00A32DA4">
            <w:pPr>
              <w:ind w:left="0"/>
              <w:jc w:val="center"/>
              <w:rPr>
                <w:b/>
                <w:bCs/>
                <w:color w:val="FF0000"/>
              </w:rPr>
            </w:pPr>
            <w:r w:rsidRPr="00A32DA4">
              <w:rPr>
                <w:rFonts w:eastAsia="Calibri"/>
                <w:b/>
                <w:bCs/>
                <w:lang w:eastAsia="en-US"/>
              </w:rPr>
              <w:t>Действующая редакция</w:t>
            </w:r>
          </w:p>
        </w:tc>
        <w:tc>
          <w:tcPr>
            <w:tcW w:w="4819" w:type="dxa"/>
            <w:vAlign w:val="center"/>
          </w:tcPr>
          <w:p w:rsidR="00A32DA4" w:rsidRPr="00A32DA4" w:rsidRDefault="00A32DA4" w:rsidP="00A32DA4">
            <w:pPr>
              <w:ind w:left="0"/>
              <w:jc w:val="center"/>
              <w:rPr>
                <w:b/>
                <w:bCs/>
              </w:rPr>
            </w:pPr>
            <w:r w:rsidRPr="00A32DA4">
              <w:rPr>
                <w:rFonts w:eastAsia="Calibri"/>
                <w:b/>
                <w:bCs/>
                <w:lang w:eastAsia="en-US"/>
              </w:rPr>
              <w:t>Предлагаемая редакция</w:t>
            </w:r>
          </w:p>
        </w:tc>
      </w:tr>
      <w:tr w:rsidR="00A32DA4" w:rsidRPr="00A32DA4" w:rsidTr="00F2065E">
        <w:trPr>
          <w:trHeight w:val="629"/>
        </w:trPr>
        <w:tc>
          <w:tcPr>
            <w:tcW w:w="4820" w:type="dxa"/>
          </w:tcPr>
          <w:p w:rsidR="00A32DA4" w:rsidRPr="00A32DA4" w:rsidRDefault="00A32DA4" w:rsidP="00A32DA4">
            <w:pPr>
              <w:ind w:left="0" w:firstLine="596"/>
              <w:jc w:val="both"/>
            </w:pPr>
            <w:r w:rsidRPr="00A32DA4">
              <w:t>Статья 16. Местные (городские, районные) налоги</w:t>
            </w:r>
          </w:p>
          <w:p w:rsidR="00A32DA4" w:rsidRPr="00A32DA4" w:rsidRDefault="00A32DA4" w:rsidP="00A32DA4">
            <w:pPr>
              <w:ind w:left="0" w:firstLine="596"/>
              <w:jc w:val="both"/>
            </w:pPr>
            <w:r w:rsidRPr="00A32DA4">
              <w:t>1. Система местных налогов включает:</w:t>
            </w:r>
          </w:p>
          <w:p w:rsidR="00A32DA4" w:rsidRPr="00A32DA4" w:rsidRDefault="00A32DA4" w:rsidP="00A32DA4">
            <w:pPr>
              <w:ind w:left="0" w:firstLine="596"/>
              <w:jc w:val="both"/>
            </w:pPr>
            <w:r w:rsidRPr="00A32DA4">
              <w:t>а) …</w:t>
            </w:r>
          </w:p>
          <w:p w:rsidR="00A32DA4" w:rsidRPr="00A32DA4" w:rsidRDefault="00A32DA4" w:rsidP="00A32DA4">
            <w:pPr>
              <w:ind w:left="0" w:firstLine="596"/>
              <w:jc w:val="both"/>
            </w:pPr>
            <w:r w:rsidRPr="00A32DA4">
              <w:t>…</w:t>
            </w:r>
          </w:p>
          <w:p w:rsidR="00A32DA4" w:rsidRPr="00A32DA4" w:rsidRDefault="00A32DA4" w:rsidP="00A32DA4">
            <w:pPr>
              <w:ind w:left="0" w:firstLine="596"/>
              <w:jc w:val="both"/>
              <w:rPr>
                <w:lang w:val="ru-MD"/>
              </w:rPr>
            </w:pPr>
            <w:r w:rsidRPr="00A32DA4">
              <w:t xml:space="preserve">и) </w:t>
            </w:r>
            <w:r w:rsidRPr="00A32DA4">
              <w:rPr>
                <w:lang w:val="ru-MD"/>
              </w:rPr>
              <w:t>налог на содержание жилищного фонда, объектов социально-культурной сферы и благоустройство территории города (района).</w:t>
            </w:r>
          </w:p>
          <w:p w:rsidR="00A32DA4" w:rsidRPr="00A32DA4" w:rsidRDefault="00A32DA4" w:rsidP="00A32DA4">
            <w:pPr>
              <w:ind w:left="0" w:firstLine="596"/>
              <w:jc w:val="both"/>
              <w:rPr>
                <w:lang w:val="ru-MD"/>
              </w:rPr>
            </w:pPr>
            <w:r w:rsidRPr="00A32DA4">
              <w:rPr>
                <w:lang w:val="ru-MD"/>
              </w:rPr>
              <w:t>Налог уплачивают:</w:t>
            </w:r>
          </w:p>
          <w:p w:rsidR="00A32DA4" w:rsidRPr="00A32DA4" w:rsidRDefault="00A32DA4" w:rsidP="00A32DA4">
            <w:pPr>
              <w:ind w:left="0" w:firstLine="596"/>
              <w:jc w:val="both"/>
              <w:rPr>
                <w:lang w:val="ru-MD"/>
              </w:rPr>
            </w:pPr>
            <w:r w:rsidRPr="00A32DA4">
              <w:rPr>
                <w:lang w:val="ru-MD"/>
              </w:rPr>
              <w:t>а) юридические лица в размере 0,25 процента, исчисленных от:</w:t>
            </w:r>
          </w:p>
          <w:p w:rsidR="00A32DA4" w:rsidRPr="00A32DA4" w:rsidRDefault="00A32DA4" w:rsidP="00A32DA4">
            <w:pPr>
              <w:ind w:left="0" w:firstLine="596"/>
              <w:jc w:val="both"/>
              <w:rPr>
                <w:lang w:val="ru-MD"/>
              </w:rPr>
            </w:pPr>
            <w:r w:rsidRPr="00A32DA4">
              <w:rPr>
                <w:lang w:val="ru-MD"/>
              </w:rPr>
              <w:t>1) доходов от продаж (выручки от реализации) продукции, товаров, выполненных работ, оказанных услуг;</w:t>
            </w:r>
          </w:p>
          <w:p w:rsidR="00A32DA4" w:rsidRPr="00A32DA4" w:rsidRDefault="00A32DA4" w:rsidP="00A32DA4">
            <w:pPr>
              <w:ind w:left="0" w:firstLine="596"/>
              <w:jc w:val="both"/>
              <w:rPr>
                <w:lang w:val="ru-MD"/>
              </w:rPr>
            </w:pPr>
            <w:r w:rsidRPr="00A32DA4">
              <w:rPr>
                <w:lang w:val="ru-MD"/>
              </w:rPr>
              <w:t>2) доходов (выручки)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w:t>
            </w:r>
          </w:p>
          <w:p w:rsidR="00A32DA4" w:rsidRPr="00A32DA4" w:rsidRDefault="00A32DA4" w:rsidP="00A32DA4">
            <w:pPr>
              <w:ind w:left="0" w:firstLine="596"/>
              <w:jc w:val="both"/>
              <w:rPr>
                <w:lang w:val="ru-MD"/>
              </w:rPr>
            </w:pPr>
            <w:r w:rsidRPr="00A32DA4">
              <w:rPr>
                <w:lang w:val="ru-MD"/>
              </w:rPr>
              <w:t>3) других операционных доходов, а именно: доходов от продаж (выручки от реализации) других текущих активов (сырья и материалов), доходов (выручки)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w:t>
            </w:r>
          </w:p>
          <w:p w:rsidR="00A32DA4" w:rsidRPr="00A32DA4" w:rsidRDefault="00A32DA4" w:rsidP="00A32DA4">
            <w:pPr>
              <w:ind w:left="0" w:firstLine="720"/>
              <w:jc w:val="both"/>
              <w:rPr>
                <w:b/>
                <w:lang w:val="ru-MD"/>
              </w:rPr>
            </w:pPr>
            <w:r w:rsidRPr="00A32DA4">
              <w:t xml:space="preserve">Сумма налогооблагаемого дохода определяется с учетом особенностей определения облагаемого оборота, установленных Законом Приднестровской Молдавской Республики «О налоге на доходы организаций», за исключением особенностей, предусмотренных пунктом 26 статьи 5 Закона Приднестровской Молдавской Республики «О налоге на доходы организаций». </w:t>
            </w: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r w:rsidRPr="00A32DA4">
              <w:rPr>
                <w:bCs/>
                <w:color w:val="000000"/>
                <w:lang w:val="ru-MD"/>
              </w:rPr>
              <w:t>По организациям, в состав которых входят территориально обособленные структурные подразделения (в частности, филиалы, отделения), как имеющие отдельный баланс и расчетный счет (</w:t>
            </w:r>
            <w:proofErr w:type="spellStart"/>
            <w:r w:rsidRPr="00A32DA4">
              <w:rPr>
                <w:bCs/>
                <w:color w:val="000000"/>
                <w:lang w:val="ru-MD"/>
              </w:rPr>
              <w:t>субсчет</w:t>
            </w:r>
            <w:proofErr w:type="spellEnd"/>
            <w:r w:rsidRPr="00A32DA4">
              <w:rPr>
                <w:bCs/>
                <w:color w:val="000000"/>
                <w:lang w:val="ru-MD"/>
              </w:rPr>
              <w:t>, корреспондентский счет) в банке, так и не имеющие самостоятельных учетных показателей, необходимых для исчисления налога, расчет суммы налогооблагаемого дохода по каждому структурному подразделению производится головной организацией одним из следующих способов:</w:t>
            </w:r>
          </w:p>
          <w:p w:rsidR="00A32DA4" w:rsidRPr="00A32DA4" w:rsidRDefault="00A32DA4" w:rsidP="00A32DA4">
            <w:pPr>
              <w:ind w:left="0" w:firstLine="720"/>
              <w:jc w:val="both"/>
              <w:rPr>
                <w:bCs/>
                <w:color w:val="000000"/>
                <w:lang w:val="ru-MD"/>
              </w:rPr>
            </w:pPr>
            <w:r w:rsidRPr="00A32DA4">
              <w:t xml:space="preserve">а) при ведении в организации учета доходов раздельно по каждому структурному подразделению – пропорционально налогооблагаемому доходу структурных подразделений, определяемому с учетом особенностей, определения облагаемого оборота, установленных Законом Приднестровской Молдавской Республики «О налоге на доходы организаций», за исключением особенностей, предусмотренных пунктом 26 статьи 5 Закона Приднестровской Молдавской Республики «О налоге на доходы организаций». </w:t>
            </w: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firstLine="720"/>
              <w:jc w:val="both"/>
              <w:rPr>
                <w:bCs/>
                <w:color w:val="000000"/>
                <w:lang w:val="ru-MD"/>
              </w:rPr>
            </w:pPr>
          </w:p>
          <w:p w:rsidR="00A32DA4" w:rsidRPr="00A32DA4" w:rsidRDefault="00A32DA4" w:rsidP="00A32DA4">
            <w:pPr>
              <w:ind w:left="0"/>
              <w:jc w:val="both"/>
              <w:rPr>
                <w:bCs/>
                <w:color w:val="000000"/>
                <w:lang w:val="ru-MD"/>
              </w:rPr>
            </w:pPr>
            <w:r w:rsidRPr="00A32DA4">
              <w:rPr>
                <w:bCs/>
                <w:color w:val="000000"/>
                <w:lang w:val="ru-MD"/>
              </w:rPr>
              <w:lastRenderedPageBreak/>
              <w:t>...</w:t>
            </w:r>
          </w:p>
          <w:p w:rsidR="00A32DA4" w:rsidRPr="00A32DA4" w:rsidRDefault="00A32DA4" w:rsidP="00A32DA4">
            <w:pPr>
              <w:ind w:left="0" w:firstLine="720"/>
              <w:jc w:val="both"/>
              <w:rPr>
                <w:color w:val="000000"/>
              </w:rPr>
            </w:pPr>
            <w:r w:rsidRPr="00A32DA4">
              <w:rPr>
                <w:color w:val="000000"/>
              </w:rPr>
              <w:t>Сумма налогооблагаемого дохода уменьшается на сумму налога на доходы организаций, исчисленного организацией в соответствии с законодательным актом Приднестровской Молдавской Республики о налоге на доходы организаций. При этом по организациям, в состав которых входят территориально обособленные структурные подразделения, уменьшение суммы налогооблагаемого дохода на сумму налога на доходы организаций производится по каждому городу (району) пропорционально доле налогооблагаемого дохода, приходящегося на соответствующий город (район), рассчитанной в соответствии с настоящим подпунктом.</w:t>
            </w:r>
          </w:p>
          <w:p w:rsidR="00A32DA4" w:rsidRPr="00A32DA4" w:rsidRDefault="00A32DA4" w:rsidP="00A32DA4">
            <w:pPr>
              <w:ind w:left="0" w:firstLine="720"/>
              <w:jc w:val="both"/>
              <w:rPr>
                <w:color w:val="000000"/>
                <w:lang w:val="ru-MD"/>
              </w:rPr>
            </w:pPr>
          </w:p>
        </w:tc>
        <w:tc>
          <w:tcPr>
            <w:tcW w:w="4819" w:type="dxa"/>
          </w:tcPr>
          <w:p w:rsidR="00A32DA4" w:rsidRPr="00A32DA4" w:rsidRDefault="00A32DA4" w:rsidP="00A32DA4">
            <w:pPr>
              <w:ind w:left="0" w:firstLine="596"/>
              <w:jc w:val="both"/>
            </w:pPr>
            <w:r w:rsidRPr="00A32DA4">
              <w:lastRenderedPageBreak/>
              <w:t>Статья 16. Местные (городские, районные) налоги</w:t>
            </w:r>
          </w:p>
          <w:p w:rsidR="00A32DA4" w:rsidRPr="00A32DA4" w:rsidRDefault="00A32DA4" w:rsidP="00A32DA4">
            <w:pPr>
              <w:ind w:left="0" w:firstLine="596"/>
              <w:jc w:val="both"/>
            </w:pPr>
            <w:r w:rsidRPr="00A32DA4">
              <w:t>1. Система местных налогов включает:</w:t>
            </w:r>
          </w:p>
          <w:p w:rsidR="00A32DA4" w:rsidRPr="00A32DA4" w:rsidRDefault="00A32DA4" w:rsidP="00A32DA4">
            <w:pPr>
              <w:ind w:left="0" w:firstLine="596"/>
              <w:jc w:val="both"/>
            </w:pPr>
            <w:r w:rsidRPr="00A32DA4">
              <w:t>а) …</w:t>
            </w:r>
          </w:p>
          <w:p w:rsidR="00A32DA4" w:rsidRPr="00A32DA4" w:rsidRDefault="00A32DA4" w:rsidP="00A32DA4">
            <w:pPr>
              <w:ind w:left="0" w:firstLine="596"/>
              <w:jc w:val="both"/>
            </w:pPr>
            <w:r w:rsidRPr="00A32DA4">
              <w:t>…</w:t>
            </w:r>
          </w:p>
          <w:p w:rsidR="00A32DA4" w:rsidRPr="00A32DA4" w:rsidRDefault="00A32DA4" w:rsidP="00A32DA4">
            <w:pPr>
              <w:ind w:left="0" w:firstLine="596"/>
              <w:jc w:val="both"/>
              <w:rPr>
                <w:lang w:val="ru-MD"/>
              </w:rPr>
            </w:pPr>
            <w:r w:rsidRPr="00A32DA4">
              <w:t xml:space="preserve">и) </w:t>
            </w:r>
            <w:r w:rsidRPr="00A32DA4">
              <w:rPr>
                <w:lang w:val="ru-MD"/>
              </w:rPr>
              <w:t>налог на содержание жилищного фонда, объектов социально-культурной сферы и благоустройство территории города (района).</w:t>
            </w:r>
          </w:p>
          <w:p w:rsidR="00A32DA4" w:rsidRPr="00A32DA4" w:rsidRDefault="00A32DA4" w:rsidP="00A32DA4">
            <w:pPr>
              <w:ind w:left="0" w:firstLine="596"/>
              <w:jc w:val="both"/>
              <w:rPr>
                <w:lang w:val="ru-MD"/>
              </w:rPr>
            </w:pPr>
            <w:r w:rsidRPr="00A32DA4">
              <w:rPr>
                <w:lang w:val="ru-MD"/>
              </w:rPr>
              <w:t>Налог уплачивают:</w:t>
            </w:r>
          </w:p>
          <w:p w:rsidR="00A32DA4" w:rsidRPr="00A32DA4" w:rsidRDefault="00A32DA4" w:rsidP="00A32DA4">
            <w:pPr>
              <w:ind w:left="0" w:firstLine="596"/>
              <w:jc w:val="both"/>
              <w:rPr>
                <w:lang w:val="ru-MD"/>
              </w:rPr>
            </w:pPr>
            <w:r w:rsidRPr="00A32DA4">
              <w:rPr>
                <w:lang w:val="ru-MD"/>
              </w:rPr>
              <w:t>а) юридические лица в размере 0,25 процента, исчисленных от:</w:t>
            </w:r>
          </w:p>
          <w:p w:rsidR="00A32DA4" w:rsidRPr="00A32DA4" w:rsidRDefault="00A32DA4" w:rsidP="00A32DA4">
            <w:pPr>
              <w:ind w:left="0" w:firstLine="596"/>
              <w:jc w:val="both"/>
              <w:rPr>
                <w:lang w:val="ru-MD"/>
              </w:rPr>
            </w:pPr>
            <w:r w:rsidRPr="00A32DA4">
              <w:rPr>
                <w:lang w:val="ru-MD"/>
              </w:rPr>
              <w:t>1) доходов от продаж (выручки от реализации) продукции, товаров, выполненных работ, оказанных услуг;</w:t>
            </w:r>
          </w:p>
          <w:p w:rsidR="00A32DA4" w:rsidRPr="00A32DA4" w:rsidRDefault="00A32DA4" w:rsidP="00A32DA4">
            <w:pPr>
              <w:ind w:left="0" w:firstLine="596"/>
              <w:jc w:val="both"/>
              <w:rPr>
                <w:lang w:val="ru-MD"/>
              </w:rPr>
            </w:pPr>
            <w:r w:rsidRPr="00A32DA4">
              <w:rPr>
                <w:lang w:val="ru-MD"/>
              </w:rPr>
              <w:t>2) доходов (выручки)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w:t>
            </w:r>
          </w:p>
          <w:p w:rsidR="00A32DA4" w:rsidRPr="00A32DA4" w:rsidRDefault="00A32DA4" w:rsidP="00A32DA4">
            <w:pPr>
              <w:ind w:left="0" w:firstLine="596"/>
              <w:jc w:val="both"/>
              <w:rPr>
                <w:lang w:val="ru-MD"/>
              </w:rPr>
            </w:pPr>
            <w:r w:rsidRPr="00A32DA4">
              <w:rPr>
                <w:lang w:val="ru-MD"/>
              </w:rPr>
              <w:t>3) других операционных доходов, а именно: доходов от продаж (выручки от реализации) других текущих активов (сырья и материалов), доходов (выручки)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w:t>
            </w:r>
          </w:p>
          <w:p w:rsidR="00A32DA4" w:rsidRPr="00A32DA4" w:rsidRDefault="00A32DA4" w:rsidP="00A32DA4">
            <w:pPr>
              <w:ind w:left="0" w:firstLine="596"/>
              <w:jc w:val="both"/>
              <w:rPr>
                <w:b/>
                <w:bCs/>
              </w:rPr>
            </w:pPr>
            <w:r w:rsidRPr="00A32DA4">
              <w:t xml:space="preserve">Сумма налогооблагаемого дохода </w:t>
            </w:r>
            <w:r w:rsidRPr="00A32DA4">
              <w:rPr>
                <w:b/>
              </w:rPr>
              <w:t>для организаций, применяющих общий режим налогообложения,</w:t>
            </w:r>
            <w:r w:rsidRPr="00A32DA4">
              <w:t xml:space="preserve">  определяется с учетом особенностей определения облагаемого оборота, установленных Законом Приднестровской Молдавской Республики «О налоге на доходы организаций» </w:t>
            </w:r>
            <w:r w:rsidRPr="00A32DA4">
              <w:rPr>
                <w:b/>
              </w:rPr>
              <w:t>с внесенными в него изменениями и (или) дополнениями</w:t>
            </w:r>
            <w:r w:rsidRPr="00A32DA4">
              <w:t xml:space="preserve">, за исключением особенностей, предусмотренных пунктом 26 статьи 5 Закона Приднестровской Молдавской Республики «О налоге на доходы организаций» </w:t>
            </w:r>
            <w:r w:rsidRPr="00A32DA4">
              <w:rPr>
                <w:b/>
              </w:rPr>
              <w:t>с внесенными в него изменениями и (или) дополнениями</w:t>
            </w:r>
            <w:r w:rsidRPr="00A32DA4">
              <w:t xml:space="preserve">. </w:t>
            </w:r>
            <w:r w:rsidRPr="00A32DA4">
              <w:rPr>
                <w:b/>
                <w:bCs/>
              </w:rPr>
              <w:t xml:space="preserve">Для </w:t>
            </w:r>
            <w:r w:rsidRPr="00A32DA4">
              <w:rPr>
                <w:b/>
                <w:bCs/>
              </w:rPr>
              <w:lastRenderedPageBreak/>
              <w:t>организаций, применяющих упрощенную систему налогообложения, налогооблагаемым доходом признается доход, являющийся объектом налогообложения по налогу с выручки в соответствии с Законом Приднестровской Молдавской Республики «Специальный налоговый режим – упрощенная система налогообложения»</w:t>
            </w:r>
            <w:r w:rsidRPr="00A32DA4">
              <w:rPr>
                <w:b/>
              </w:rPr>
              <w:t xml:space="preserve"> с внесенными в него изменениями и (или) дополнениями</w:t>
            </w:r>
            <w:r w:rsidRPr="00A32DA4">
              <w:rPr>
                <w:b/>
                <w:bCs/>
              </w:rPr>
              <w:t xml:space="preserve">. </w:t>
            </w:r>
          </w:p>
          <w:p w:rsidR="00A32DA4" w:rsidRPr="00A32DA4" w:rsidRDefault="00A32DA4" w:rsidP="00A32DA4">
            <w:pPr>
              <w:ind w:left="0" w:firstLine="596"/>
              <w:jc w:val="both"/>
            </w:pPr>
            <w:r w:rsidRPr="00A32DA4">
              <w:t>По организациям, в состав которых входят территориально обособленные структурные подразделения (в частности, филиалы, отделения), как имеющие отдельный баланс и расчетный счет (</w:t>
            </w:r>
            <w:proofErr w:type="spellStart"/>
            <w:r w:rsidRPr="00A32DA4">
              <w:t>субсчет</w:t>
            </w:r>
            <w:proofErr w:type="spellEnd"/>
            <w:r w:rsidRPr="00A32DA4">
              <w:t>, корреспондентский счет) в банке, так и не имеющие самостоятельных учетных показателей, необходимых для исчисления налога, расчет суммы налогооблагаемого дохода по каждому структурному подразделению производится головной организацией одним из следующих способов:</w:t>
            </w:r>
          </w:p>
          <w:p w:rsidR="00A32DA4" w:rsidRPr="00A32DA4" w:rsidRDefault="00A32DA4" w:rsidP="00A32DA4">
            <w:pPr>
              <w:ind w:left="0" w:firstLine="596"/>
              <w:jc w:val="both"/>
            </w:pPr>
            <w:r w:rsidRPr="00A32DA4">
              <w:t>а) при ведении в организации учета доходов раздельно по каждому структурному подразделению</w:t>
            </w:r>
            <w:r w:rsidRPr="00A32DA4">
              <w:rPr>
                <w:b/>
              </w:rPr>
              <w:t>:</w:t>
            </w:r>
          </w:p>
          <w:p w:rsidR="00A32DA4" w:rsidRPr="00A32DA4" w:rsidRDefault="00A32DA4" w:rsidP="00A32DA4">
            <w:pPr>
              <w:ind w:left="0" w:firstLine="596"/>
              <w:jc w:val="both"/>
            </w:pPr>
            <w:r w:rsidRPr="00A32DA4">
              <w:rPr>
                <w:b/>
              </w:rPr>
              <w:t>1)</w:t>
            </w:r>
            <w:r w:rsidRPr="00A32DA4">
              <w:t xml:space="preserve"> организациями, применяющими общий режим налогообложения, - пропорционально налогооблагаемому доходу структурных подразделений, определяемому с учетом особенностей</w:t>
            </w:r>
            <w:r w:rsidRPr="00A32DA4">
              <w:rPr>
                <w:color w:val="FF0000"/>
              </w:rPr>
              <w:t xml:space="preserve"> </w:t>
            </w:r>
            <w:r w:rsidRPr="00A32DA4">
              <w:t>определения облагаемого оборота, установленных Законом Приднестровской Молдавской Республики «О налоге на доходы организаций»</w:t>
            </w:r>
            <w:r w:rsidRPr="00A32DA4">
              <w:rPr>
                <w:b/>
                <w:bCs/>
                <w:color w:val="000000"/>
                <w:sz w:val="20"/>
                <w:szCs w:val="20"/>
              </w:rPr>
              <w:t xml:space="preserve"> </w:t>
            </w:r>
            <w:r w:rsidRPr="00A32DA4">
              <w:rPr>
                <w:b/>
              </w:rPr>
              <w:t>с внесенными в него изменениями и (или) дополнениями</w:t>
            </w:r>
            <w:r w:rsidRPr="00A32DA4">
              <w:t>, за исключением особенностей, предусмотренных пунктом 26 статьи 5 Закона Приднестровской Молдавской Республики «О налоге на доходы организаций»</w:t>
            </w:r>
            <w:r w:rsidRPr="00A32DA4">
              <w:rPr>
                <w:b/>
                <w:bCs/>
                <w:color w:val="000000"/>
                <w:sz w:val="20"/>
                <w:szCs w:val="20"/>
              </w:rPr>
              <w:t xml:space="preserve"> </w:t>
            </w:r>
            <w:r w:rsidRPr="00A32DA4">
              <w:rPr>
                <w:b/>
              </w:rPr>
              <w:t>с внесенными в него изменениями и (или) дополнениями</w:t>
            </w:r>
            <w:r w:rsidRPr="00A32DA4">
              <w:t xml:space="preserve">; </w:t>
            </w:r>
          </w:p>
          <w:p w:rsidR="00A32DA4" w:rsidRPr="00A32DA4" w:rsidRDefault="00A32DA4" w:rsidP="00A32DA4">
            <w:pPr>
              <w:ind w:left="0" w:firstLine="596"/>
              <w:jc w:val="both"/>
              <w:rPr>
                <w:b/>
              </w:rPr>
            </w:pPr>
            <w:r w:rsidRPr="00A32DA4">
              <w:rPr>
                <w:b/>
              </w:rPr>
              <w:t>2) организациями, применяющими упрощенную систему налогообложения, - пропорционально налогооблагаемому доходу структурных подразделений, определяемому в соответствии с Законом Приднестровской Молдавской Республики «Специальный налоговый режим – упрощенная система налогообложения»</w:t>
            </w:r>
            <w:r w:rsidRPr="00A32DA4">
              <w:rPr>
                <w:b/>
                <w:bCs/>
                <w:color w:val="000000"/>
                <w:sz w:val="20"/>
                <w:szCs w:val="20"/>
              </w:rPr>
              <w:t xml:space="preserve"> </w:t>
            </w:r>
            <w:r w:rsidRPr="00A32DA4">
              <w:rPr>
                <w:b/>
              </w:rPr>
              <w:t>с внесенными в него изменениями и (или) дополнениями</w:t>
            </w:r>
            <w:r w:rsidRPr="00A32DA4">
              <w:rPr>
                <w:b/>
                <w:bCs/>
              </w:rPr>
              <w:t>;</w:t>
            </w:r>
            <w:r w:rsidRPr="00A32DA4">
              <w:rPr>
                <w:b/>
              </w:rPr>
              <w:t xml:space="preserve"> </w:t>
            </w:r>
          </w:p>
          <w:p w:rsidR="00A32DA4" w:rsidRPr="00A32DA4" w:rsidRDefault="00A32DA4" w:rsidP="00A32DA4">
            <w:pPr>
              <w:ind w:left="0" w:firstLine="596"/>
              <w:jc w:val="both"/>
              <w:rPr>
                <w:b/>
              </w:rPr>
            </w:pPr>
            <w:r w:rsidRPr="00A32DA4">
              <w:rPr>
                <w:b/>
              </w:rPr>
              <w:lastRenderedPageBreak/>
              <w:t>…</w:t>
            </w:r>
          </w:p>
          <w:p w:rsidR="00A32DA4" w:rsidRPr="00A32DA4" w:rsidRDefault="00A32DA4" w:rsidP="00A32DA4">
            <w:pPr>
              <w:ind w:left="0" w:firstLine="596"/>
              <w:jc w:val="both"/>
              <w:rPr>
                <w:b/>
                <w:bCs/>
              </w:rPr>
            </w:pPr>
            <w:r w:rsidRPr="00A32DA4">
              <w:rPr>
                <w:b/>
              </w:rPr>
              <w:t>Сумма налогооблагаемого дохода уменьшается организациями, применяющими общий режим налогообложения, на сумму налога на доходы организаций, исчисленного организацией в соответствии с Законом</w:t>
            </w:r>
            <w:r w:rsidRPr="00A32DA4">
              <w:rPr>
                <w:b/>
                <w:strike/>
                <w:color w:val="FF0000"/>
              </w:rPr>
              <w:t xml:space="preserve"> </w:t>
            </w:r>
            <w:r w:rsidRPr="00A32DA4">
              <w:rPr>
                <w:b/>
              </w:rPr>
              <w:t>Приднестровской Молдавской Республики «О налоге на доходы организаций»</w:t>
            </w:r>
            <w:r w:rsidRPr="00A32DA4">
              <w:rPr>
                <w:b/>
                <w:bCs/>
                <w:color w:val="000000"/>
                <w:sz w:val="20"/>
                <w:szCs w:val="20"/>
              </w:rPr>
              <w:t xml:space="preserve"> </w:t>
            </w:r>
            <w:r w:rsidRPr="00A32DA4">
              <w:rPr>
                <w:b/>
                <w:bCs/>
                <w:color w:val="000000"/>
              </w:rPr>
              <w:t xml:space="preserve">с внесенными в него изменениями и (или) дополнениями, а организациями, применяющими упрощенную систему налогообложения, - </w:t>
            </w:r>
            <w:r w:rsidRPr="00A32DA4">
              <w:rPr>
                <w:b/>
              </w:rPr>
              <w:t>на сумму налога с выручки указанных организаций, исчисленного в соответствии с Законом Приднестровской Молдавской Республики «Специальный налоговый режим – упрощенная система налогообложения»</w:t>
            </w:r>
            <w:r w:rsidRPr="00A32DA4">
              <w:rPr>
                <w:b/>
                <w:bCs/>
                <w:color w:val="000000"/>
                <w:sz w:val="20"/>
                <w:szCs w:val="20"/>
              </w:rPr>
              <w:t xml:space="preserve"> </w:t>
            </w:r>
            <w:r w:rsidRPr="00A32DA4">
              <w:rPr>
                <w:b/>
              </w:rPr>
              <w:t>с внесенными в него изменениями и (или) дополнениями.</w:t>
            </w:r>
            <w:r w:rsidRPr="00A32DA4">
              <w:rPr>
                <w:b/>
                <w:bCs/>
                <w:color w:val="000000"/>
                <w:sz w:val="20"/>
                <w:szCs w:val="20"/>
              </w:rPr>
              <w:t xml:space="preserve"> </w:t>
            </w:r>
            <w:r w:rsidRPr="00A32DA4">
              <w:rPr>
                <w:b/>
              </w:rPr>
              <w:t>При этом по организациям, в состав которых входят территориально обособленные структурные подразделения, уменьшение суммы налогооблагаемого дохода на сумму налога на доходы организаций или на сумму налога с выручки</w:t>
            </w:r>
            <w:r w:rsidRPr="00A32DA4">
              <w:rPr>
                <w:b/>
                <w:color w:val="FF0000"/>
              </w:rPr>
              <w:t xml:space="preserve"> </w:t>
            </w:r>
            <w:r w:rsidRPr="00A32DA4">
              <w:rPr>
                <w:b/>
              </w:rPr>
              <w:t>производится по каждому городу (району) пропорционально доле налогооблагаемого дохода, приходящейся на соответствующий город</w:t>
            </w:r>
            <w:r w:rsidRPr="00A32DA4">
              <w:rPr>
                <w:b/>
                <w:color w:val="FF0000"/>
              </w:rPr>
              <w:t xml:space="preserve"> </w:t>
            </w:r>
            <w:r w:rsidRPr="00A32DA4">
              <w:rPr>
                <w:b/>
              </w:rPr>
              <w:t>(район), рассчитанной в соответствии с настоящим подпунктом.</w:t>
            </w:r>
          </w:p>
        </w:tc>
      </w:tr>
    </w:tbl>
    <w:p w:rsidR="008926AE" w:rsidRPr="00A32DA4" w:rsidRDefault="008926AE" w:rsidP="00A32DA4">
      <w:pPr>
        <w:ind w:left="0"/>
        <w:rPr>
          <w:rFonts w:eastAsia="Calibri"/>
        </w:rPr>
      </w:pPr>
      <w:bookmarkStart w:id="0" w:name="_GoBack"/>
      <w:bookmarkEnd w:id="0"/>
    </w:p>
    <w:sectPr w:rsidR="008926AE" w:rsidRPr="00A32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22EA6"/>
    <w:rsid w:val="00051996"/>
    <w:rsid w:val="000C1AB0"/>
    <w:rsid w:val="0010443E"/>
    <w:rsid w:val="00147B5A"/>
    <w:rsid w:val="001764E8"/>
    <w:rsid w:val="00336B91"/>
    <w:rsid w:val="0040279E"/>
    <w:rsid w:val="004204C5"/>
    <w:rsid w:val="005669D6"/>
    <w:rsid w:val="005F0727"/>
    <w:rsid w:val="005F790B"/>
    <w:rsid w:val="0062219E"/>
    <w:rsid w:val="006F2894"/>
    <w:rsid w:val="007140FC"/>
    <w:rsid w:val="0072713F"/>
    <w:rsid w:val="00736078"/>
    <w:rsid w:val="00745731"/>
    <w:rsid w:val="007C3B6C"/>
    <w:rsid w:val="00853717"/>
    <w:rsid w:val="008926AE"/>
    <w:rsid w:val="0091069F"/>
    <w:rsid w:val="00922BB1"/>
    <w:rsid w:val="00945F4B"/>
    <w:rsid w:val="00947364"/>
    <w:rsid w:val="009C0CBA"/>
    <w:rsid w:val="00A32DA4"/>
    <w:rsid w:val="00A500D1"/>
    <w:rsid w:val="00B62C7E"/>
    <w:rsid w:val="00B90E5E"/>
    <w:rsid w:val="00BF25F5"/>
    <w:rsid w:val="00C30585"/>
    <w:rsid w:val="00CA389A"/>
    <w:rsid w:val="00DC2A0D"/>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E1ED"/>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1074</Words>
  <Characters>6125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35</cp:revision>
  <dcterms:created xsi:type="dcterms:W3CDTF">2026-03-30T13:53:00Z</dcterms:created>
  <dcterms:modified xsi:type="dcterms:W3CDTF">2026-04-27T07:45:00Z</dcterms:modified>
</cp:coreProperties>
</file>