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D71" w:rsidRDefault="00E55D71" w:rsidP="00E55D71">
      <w:pPr>
        <w:jc w:val="center"/>
        <w:rPr>
          <w:rFonts w:eastAsia="Calibri"/>
          <w:szCs w:val="28"/>
        </w:rPr>
      </w:pPr>
      <w:r>
        <w:rPr>
          <w:rFonts w:eastAsia="Calibri"/>
          <w:szCs w:val="28"/>
        </w:rPr>
        <w:t>СРАВНИТЕЛЬНАЯ ТАБЛИЦА</w:t>
      </w:r>
    </w:p>
    <w:p w:rsidR="00E55D71" w:rsidRDefault="00E55D71" w:rsidP="00E55D71">
      <w:pPr>
        <w:jc w:val="center"/>
        <w:rPr>
          <w:rFonts w:eastAsia="Calibri"/>
          <w:sz w:val="28"/>
          <w:szCs w:val="28"/>
        </w:rPr>
      </w:pPr>
      <w:r>
        <w:rPr>
          <w:rFonts w:eastAsia="Calibri"/>
          <w:sz w:val="28"/>
          <w:szCs w:val="28"/>
        </w:rPr>
        <w:t>к проекту закона Приднестровской Молдавской Республики</w:t>
      </w:r>
    </w:p>
    <w:p w:rsidR="00E55D71" w:rsidRDefault="00E55D71" w:rsidP="00E55D71">
      <w:pPr>
        <w:jc w:val="center"/>
        <w:rPr>
          <w:rFonts w:eastAsia="Calibri"/>
          <w:sz w:val="28"/>
          <w:szCs w:val="28"/>
        </w:rPr>
      </w:pPr>
      <w:r>
        <w:rPr>
          <w:rFonts w:eastAsia="Calibri"/>
          <w:sz w:val="28"/>
          <w:szCs w:val="28"/>
        </w:rPr>
        <w:t xml:space="preserve">«О внесении изменения и дополнения в Кодекс </w:t>
      </w:r>
    </w:p>
    <w:p w:rsidR="00E55D71" w:rsidRDefault="00E55D71" w:rsidP="00E55D71">
      <w:pPr>
        <w:jc w:val="center"/>
        <w:rPr>
          <w:rFonts w:eastAsia="Calibri"/>
          <w:sz w:val="28"/>
          <w:szCs w:val="28"/>
        </w:rPr>
      </w:pPr>
      <w:r>
        <w:rPr>
          <w:rFonts w:eastAsia="Calibri"/>
          <w:sz w:val="28"/>
          <w:szCs w:val="28"/>
        </w:rPr>
        <w:t xml:space="preserve">Приднестровской Молдавской Республики </w:t>
      </w:r>
    </w:p>
    <w:p w:rsidR="00E55D71" w:rsidRDefault="00E55D71" w:rsidP="00E55D71">
      <w:pPr>
        <w:jc w:val="center"/>
        <w:rPr>
          <w:rFonts w:eastAsia="Calibri"/>
          <w:sz w:val="28"/>
          <w:szCs w:val="28"/>
        </w:rPr>
      </w:pPr>
      <w:r>
        <w:rPr>
          <w:rFonts w:eastAsia="Calibri"/>
          <w:sz w:val="28"/>
          <w:szCs w:val="28"/>
        </w:rPr>
        <w:t>об административных правонарушениях»</w:t>
      </w:r>
    </w:p>
    <w:tbl>
      <w:tblPr>
        <w:tblpPr w:leftFromText="180" w:rightFromText="180" w:bottomFromText="200"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423"/>
      </w:tblGrid>
      <w:tr w:rsidR="00E55D71" w:rsidTr="00F2065E">
        <w:trPr>
          <w:trHeight w:val="385"/>
        </w:trPr>
        <w:tc>
          <w:tcPr>
            <w:tcW w:w="3964" w:type="dxa"/>
            <w:tcBorders>
              <w:top w:val="single" w:sz="4" w:space="0" w:color="auto"/>
              <w:left w:val="single" w:sz="4" w:space="0" w:color="auto"/>
              <w:bottom w:val="single" w:sz="4" w:space="0" w:color="auto"/>
              <w:right w:val="single" w:sz="4" w:space="0" w:color="auto"/>
            </w:tcBorders>
            <w:hideMark/>
          </w:tcPr>
          <w:p w:rsidR="00E55D71" w:rsidRDefault="00E55D71" w:rsidP="00F2065E">
            <w:pPr>
              <w:ind w:firstLine="29"/>
              <w:jc w:val="center"/>
              <w:rPr>
                <w:rFonts w:eastAsia="Calibri"/>
                <w:b/>
                <w:szCs w:val="28"/>
              </w:rPr>
            </w:pPr>
            <w:r>
              <w:rPr>
                <w:rFonts w:eastAsia="Calibri"/>
                <w:b/>
                <w:szCs w:val="28"/>
              </w:rPr>
              <w:t>Текущая редакция</w:t>
            </w:r>
          </w:p>
        </w:tc>
        <w:tc>
          <w:tcPr>
            <w:tcW w:w="5510" w:type="dxa"/>
            <w:tcBorders>
              <w:top w:val="single" w:sz="4" w:space="0" w:color="auto"/>
              <w:left w:val="single" w:sz="4" w:space="0" w:color="auto"/>
              <w:bottom w:val="single" w:sz="4" w:space="0" w:color="auto"/>
              <w:right w:val="single" w:sz="4" w:space="0" w:color="auto"/>
            </w:tcBorders>
            <w:hideMark/>
          </w:tcPr>
          <w:p w:rsidR="00E55D71" w:rsidRDefault="00E55D71" w:rsidP="00F2065E">
            <w:pPr>
              <w:jc w:val="center"/>
              <w:rPr>
                <w:rFonts w:eastAsia="Calibri"/>
                <w:b/>
                <w:szCs w:val="28"/>
              </w:rPr>
            </w:pPr>
            <w:r>
              <w:rPr>
                <w:rFonts w:eastAsia="Calibri"/>
                <w:b/>
                <w:szCs w:val="28"/>
              </w:rPr>
              <w:t>Предлагаемая редакция</w:t>
            </w:r>
          </w:p>
        </w:tc>
      </w:tr>
      <w:tr w:rsidR="00E55D71" w:rsidTr="00F2065E">
        <w:trPr>
          <w:trHeight w:val="983"/>
        </w:trPr>
        <w:tc>
          <w:tcPr>
            <w:tcW w:w="3964" w:type="dxa"/>
            <w:tcBorders>
              <w:top w:val="single" w:sz="4" w:space="0" w:color="auto"/>
              <w:left w:val="single" w:sz="4" w:space="0" w:color="auto"/>
              <w:bottom w:val="single" w:sz="4" w:space="0" w:color="auto"/>
              <w:right w:val="single" w:sz="4" w:space="0" w:color="auto"/>
            </w:tcBorders>
          </w:tcPr>
          <w:p w:rsidR="00E55D71" w:rsidRDefault="00E55D71" w:rsidP="00F2065E">
            <w:pPr>
              <w:ind w:firstLine="709"/>
              <w:rPr>
                <w:rFonts w:eastAsia="Calibri"/>
                <w:szCs w:val="28"/>
              </w:rPr>
            </w:pPr>
            <w:r>
              <w:rPr>
                <w:rFonts w:eastAsia="Calibri"/>
                <w:b/>
                <w:szCs w:val="28"/>
              </w:rPr>
              <w:t>Статья 30.1.</w:t>
            </w:r>
            <w:r>
              <w:rPr>
                <w:rFonts w:eastAsia="Calibri"/>
                <w:szCs w:val="28"/>
              </w:rPr>
              <w:t xml:space="preserve"> Место рассмотрения дела об административном правонарушении</w:t>
            </w:r>
          </w:p>
          <w:p w:rsidR="00E55D71" w:rsidRDefault="00E55D71" w:rsidP="00F2065E">
            <w:pPr>
              <w:ind w:firstLine="709"/>
              <w:rPr>
                <w:rFonts w:eastAsia="Calibri"/>
                <w:szCs w:val="28"/>
              </w:rPr>
            </w:pPr>
          </w:p>
          <w:p w:rsidR="00E55D71" w:rsidRDefault="00E55D71" w:rsidP="00F2065E">
            <w:pPr>
              <w:ind w:firstLine="709"/>
              <w:rPr>
                <w:rFonts w:eastAsia="Calibri"/>
                <w:szCs w:val="28"/>
              </w:rPr>
            </w:pPr>
            <w:r>
              <w:rPr>
                <w:rFonts w:eastAsia="Calibri"/>
                <w:spacing w:val="-10"/>
                <w:szCs w:val="28"/>
              </w:rPr>
              <w:t>1. Дело об административном</w:t>
            </w:r>
            <w:r>
              <w:rPr>
                <w:rFonts w:eastAsia="Calibri"/>
                <w:szCs w:val="28"/>
              </w:rPr>
              <w:t xml:space="preserve">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b/>
                <w:szCs w:val="28"/>
              </w:rPr>
            </w:pPr>
          </w:p>
          <w:p w:rsidR="00E55D71" w:rsidRDefault="00E55D71" w:rsidP="00F2065E">
            <w:pPr>
              <w:ind w:firstLine="709"/>
              <w:rPr>
                <w:rFonts w:eastAsia="Calibri"/>
                <w:b/>
                <w:szCs w:val="28"/>
              </w:rPr>
            </w:pPr>
            <w:r>
              <w:rPr>
                <w:rFonts w:eastAsia="Calibri"/>
                <w:b/>
                <w:szCs w:val="28"/>
              </w:rPr>
              <w:t>Отсутствует.</w:t>
            </w: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p>
          <w:p w:rsidR="00E55D71" w:rsidRDefault="00E55D71" w:rsidP="00F2065E">
            <w:pPr>
              <w:ind w:firstLine="709"/>
              <w:rPr>
                <w:rFonts w:eastAsia="Calibri"/>
                <w:szCs w:val="28"/>
              </w:rPr>
            </w:pPr>
            <w:r>
              <w:rPr>
                <w:rFonts w:eastAsia="Calibri"/>
                <w:szCs w:val="28"/>
              </w:rPr>
              <w:t>…</w:t>
            </w:r>
          </w:p>
          <w:p w:rsidR="00E55D71" w:rsidRDefault="00E55D71" w:rsidP="00F2065E">
            <w:pPr>
              <w:ind w:firstLine="709"/>
              <w:rPr>
                <w:rFonts w:eastAsia="Calibri"/>
                <w:b/>
                <w:szCs w:val="28"/>
              </w:rPr>
            </w:pPr>
            <w:r>
              <w:rPr>
                <w:rFonts w:eastAsia="Calibri"/>
                <w:b/>
                <w:szCs w:val="28"/>
              </w:rPr>
              <w:t>6. Отсутствует.</w:t>
            </w:r>
          </w:p>
        </w:tc>
        <w:tc>
          <w:tcPr>
            <w:tcW w:w="5510" w:type="dxa"/>
            <w:tcBorders>
              <w:top w:val="single" w:sz="4" w:space="0" w:color="auto"/>
              <w:left w:val="single" w:sz="4" w:space="0" w:color="auto"/>
              <w:bottom w:val="single" w:sz="4" w:space="0" w:color="auto"/>
              <w:right w:val="single" w:sz="4" w:space="0" w:color="auto"/>
            </w:tcBorders>
          </w:tcPr>
          <w:p w:rsidR="00E55D71" w:rsidRDefault="00E55D71" w:rsidP="00F2065E">
            <w:pPr>
              <w:ind w:firstLine="709"/>
              <w:rPr>
                <w:rFonts w:eastAsia="Calibri"/>
                <w:szCs w:val="28"/>
              </w:rPr>
            </w:pPr>
            <w:r>
              <w:rPr>
                <w:rFonts w:eastAsia="Calibri"/>
                <w:b/>
                <w:szCs w:val="28"/>
              </w:rPr>
              <w:t>Статья 30.1.</w:t>
            </w:r>
            <w:r>
              <w:rPr>
                <w:rFonts w:eastAsia="Calibri"/>
                <w:szCs w:val="28"/>
              </w:rPr>
              <w:t xml:space="preserve"> Место рассмотрения дела об административном правонарушении</w:t>
            </w:r>
          </w:p>
          <w:p w:rsidR="00E55D71" w:rsidRDefault="00E55D71" w:rsidP="00F2065E">
            <w:pPr>
              <w:ind w:firstLine="709"/>
              <w:rPr>
                <w:rFonts w:eastAsia="Calibri"/>
                <w:sz w:val="18"/>
                <w:szCs w:val="28"/>
              </w:rPr>
            </w:pPr>
          </w:p>
          <w:p w:rsidR="00E55D71" w:rsidRDefault="00E55D71" w:rsidP="00F2065E">
            <w:pPr>
              <w:ind w:firstLine="709"/>
              <w:rPr>
                <w:rFonts w:eastAsia="Calibri"/>
                <w:b/>
                <w:szCs w:val="28"/>
              </w:rPr>
            </w:pPr>
            <w:r>
              <w:rPr>
                <w:rFonts w:eastAsia="Calibri"/>
                <w:szCs w:val="28"/>
              </w:rPr>
              <w:t xml:space="preserve">1. Дело об административном правонарушении рассматривается по месту его совершения, </w:t>
            </w:r>
            <w:r>
              <w:rPr>
                <w:rFonts w:eastAsia="Calibri"/>
                <w:b/>
                <w:szCs w:val="28"/>
              </w:rPr>
              <w:t>за исключением случаев, предусмотренных пунктом 6 настоящей статьи.</w:t>
            </w:r>
            <w:r>
              <w:rPr>
                <w:rFonts w:eastAsia="Calibri"/>
                <w:szCs w:val="28"/>
              </w:rPr>
              <w:t xml:space="preserve">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w:t>
            </w:r>
            <w:r>
              <w:rPr>
                <w:rFonts w:eastAsia="Calibri"/>
                <w:b/>
                <w:szCs w:val="28"/>
              </w:rPr>
              <w:t>за исключением случаев, предусмотренных частью второй настоящего пункта.</w:t>
            </w:r>
          </w:p>
          <w:p w:rsidR="00E55D71" w:rsidRDefault="00E55D71" w:rsidP="00F2065E">
            <w:pPr>
              <w:ind w:firstLine="709"/>
              <w:rPr>
                <w:rFonts w:eastAsia="Calibri"/>
                <w:b/>
                <w:szCs w:val="28"/>
              </w:rPr>
            </w:pPr>
            <w:r>
              <w:rPr>
                <w:rFonts w:eastAsia="Calibri"/>
                <w:b/>
                <w:szCs w:val="28"/>
              </w:rPr>
              <w:t>В случае если место жительства лица, в отношении которого ведется производство по делу об административном правонарушении, предусмотренном статьями 18.1–18.5 настоящего Кодекса, находится за пределами Приднестровской Молдавской Республики либо находится на территории самостоятельной административно-территориальной единицы Приднестровской Молдавской Республики, не имеющей общей границы с административно-территориальной единицей, на территории которой совершено административное правонарушение, дело об административном правонарушении рассматривается в порядке, предусмотренном пунктом 6 настоящей статьи.</w:t>
            </w:r>
          </w:p>
          <w:p w:rsidR="00E55D71" w:rsidRDefault="00E55D71" w:rsidP="00F2065E">
            <w:pPr>
              <w:ind w:firstLine="709"/>
              <w:rPr>
                <w:rFonts w:eastAsia="Calibri"/>
                <w:sz w:val="20"/>
                <w:szCs w:val="28"/>
              </w:rPr>
            </w:pPr>
            <w:r>
              <w:rPr>
                <w:rFonts w:eastAsia="Calibri"/>
                <w:szCs w:val="28"/>
              </w:rPr>
              <w:t xml:space="preserve"> …</w:t>
            </w:r>
          </w:p>
          <w:p w:rsidR="00E55D71" w:rsidRDefault="00E55D71" w:rsidP="00F2065E">
            <w:pPr>
              <w:ind w:firstLine="709"/>
              <w:rPr>
                <w:rFonts w:eastAsia="Calibri"/>
                <w:b/>
                <w:szCs w:val="28"/>
              </w:rPr>
            </w:pPr>
            <w:r>
              <w:rPr>
                <w:rFonts w:eastAsia="Calibri"/>
                <w:b/>
                <w:szCs w:val="28"/>
              </w:rPr>
              <w:t>6. Дела об административных правонарушениях, предусмотренных статьями 18.1–18.5 настоящего Кодекса, за исключением дел, указанных в пункте 3 настоящей статьи, по решению должностного лица, уполномоченного составлять протоколы об административных правонарушениях, могут рассматриваться как по месту совершения,</w:t>
            </w:r>
            <w:r>
              <w:rPr>
                <w:szCs w:val="28"/>
              </w:rPr>
              <w:t xml:space="preserve"> </w:t>
            </w:r>
            <w:r>
              <w:rPr>
                <w:rFonts w:eastAsia="Calibri"/>
                <w:b/>
                <w:szCs w:val="28"/>
              </w:rPr>
              <w:t xml:space="preserve">так и по месту выявления административного правонарушения либо по месту нахождения должностного лица, уполномоченного </w:t>
            </w:r>
            <w:r>
              <w:rPr>
                <w:rFonts w:eastAsia="Calibri"/>
                <w:b/>
                <w:szCs w:val="28"/>
              </w:rPr>
              <w:lastRenderedPageBreak/>
              <w:t>составлять протоколы об административных правонарушениях.</w:t>
            </w:r>
          </w:p>
        </w:tc>
      </w:tr>
    </w:tbl>
    <w:p w:rsidR="00E55D71" w:rsidRDefault="00E55D71" w:rsidP="00E55D71">
      <w:pPr>
        <w:rPr>
          <w:rFonts w:eastAsiaTheme="minorHAnsi"/>
          <w:sz w:val="28"/>
          <w:szCs w:val="28"/>
          <w:lang w:eastAsia="en-US"/>
        </w:rPr>
      </w:pPr>
    </w:p>
    <w:p w:rsidR="008926AE" w:rsidRPr="00E55D71" w:rsidRDefault="008926AE" w:rsidP="00E55D71">
      <w:pPr>
        <w:rPr>
          <w:rFonts w:eastAsia="Calibri"/>
        </w:rPr>
      </w:pPr>
      <w:bookmarkStart w:id="0" w:name="_GoBack"/>
      <w:bookmarkEnd w:id="0"/>
    </w:p>
    <w:sectPr w:rsidR="008926AE" w:rsidRPr="00E55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22EA6"/>
    <w:rsid w:val="00051996"/>
    <w:rsid w:val="000C1AB0"/>
    <w:rsid w:val="0010443E"/>
    <w:rsid w:val="00147B5A"/>
    <w:rsid w:val="001764E8"/>
    <w:rsid w:val="00336B91"/>
    <w:rsid w:val="0040279E"/>
    <w:rsid w:val="004204C5"/>
    <w:rsid w:val="005669D6"/>
    <w:rsid w:val="005F0727"/>
    <w:rsid w:val="005F790B"/>
    <w:rsid w:val="0062219E"/>
    <w:rsid w:val="006F2894"/>
    <w:rsid w:val="007140FC"/>
    <w:rsid w:val="0072713F"/>
    <w:rsid w:val="00736078"/>
    <w:rsid w:val="00745731"/>
    <w:rsid w:val="007C3B6C"/>
    <w:rsid w:val="00853717"/>
    <w:rsid w:val="008926AE"/>
    <w:rsid w:val="0091069F"/>
    <w:rsid w:val="00922BB1"/>
    <w:rsid w:val="00945F4B"/>
    <w:rsid w:val="00947364"/>
    <w:rsid w:val="009C0CBA"/>
    <w:rsid w:val="00A32DA4"/>
    <w:rsid w:val="00A500D1"/>
    <w:rsid w:val="00B62C7E"/>
    <w:rsid w:val="00B90E5E"/>
    <w:rsid w:val="00BF25F5"/>
    <w:rsid w:val="00C30585"/>
    <w:rsid w:val="00CA389A"/>
    <w:rsid w:val="00DC2A0D"/>
    <w:rsid w:val="00E55D71"/>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E1ED"/>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36</cp:revision>
  <dcterms:created xsi:type="dcterms:W3CDTF">2026-03-30T13:53:00Z</dcterms:created>
  <dcterms:modified xsi:type="dcterms:W3CDTF">2026-04-27T07:59:00Z</dcterms:modified>
</cp:coreProperties>
</file>