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279" w:rsidRPr="00694279" w:rsidRDefault="00694279" w:rsidP="00694279">
      <w:pPr>
        <w:keepNext/>
        <w:ind w:left="0"/>
        <w:jc w:val="center"/>
        <w:outlineLvl w:val="0"/>
        <w:rPr>
          <w:b/>
          <w:bCs/>
          <w:kern w:val="32"/>
          <w:szCs w:val="26"/>
        </w:rPr>
      </w:pPr>
      <w:r w:rsidRPr="00694279">
        <w:rPr>
          <w:b/>
          <w:bCs/>
          <w:kern w:val="32"/>
          <w:szCs w:val="26"/>
        </w:rPr>
        <w:t>СРАВНИТЕЛЬНАЯ ТАБЛИЦА</w:t>
      </w:r>
    </w:p>
    <w:p w:rsidR="00694279" w:rsidRPr="00694279" w:rsidRDefault="00694279" w:rsidP="00694279">
      <w:pPr>
        <w:ind w:left="0"/>
        <w:jc w:val="center"/>
        <w:rPr>
          <w:szCs w:val="26"/>
        </w:rPr>
      </w:pPr>
      <w:r w:rsidRPr="00694279">
        <w:rPr>
          <w:szCs w:val="26"/>
        </w:rPr>
        <w:t xml:space="preserve">к проекту закона Приднестровской Молдавской Республики </w:t>
      </w:r>
    </w:p>
    <w:p w:rsidR="00694279" w:rsidRPr="00694279" w:rsidRDefault="00694279" w:rsidP="00694279">
      <w:pPr>
        <w:ind w:left="0"/>
        <w:jc w:val="center"/>
        <w:rPr>
          <w:bCs/>
          <w:iCs/>
          <w:szCs w:val="26"/>
        </w:rPr>
      </w:pPr>
      <w:r w:rsidRPr="00694279">
        <w:rPr>
          <w:bCs/>
          <w:iCs/>
          <w:szCs w:val="26"/>
        </w:rPr>
        <w:t xml:space="preserve">«О внесении дополнения в Закон Приднестровской Молдавской Республики </w:t>
      </w:r>
    </w:p>
    <w:p w:rsidR="00694279" w:rsidRPr="00694279" w:rsidRDefault="00694279" w:rsidP="00694279">
      <w:pPr>
        <w:ind w:left="0"/>
        <w:jc w:val="center"/>
        <w:rPr>
          <w:rFonts w:eastAsia="Calibri"/>
          <w:szCs w:val="26"/>
          <w:lang w:eastAsia="en-US"/>
        </w:rPr>
      </w:pPr>
      <w:r w:rsidRPr="00694279">
        <w:rPr>
          <w:bCs/>
          <w:iCs/>
          <w:szCs w:val="26"/>
        </w:rPr>
        <w:t>«О закупках в Приднестровской Молдавской Республике»</w:t>
      </w:r>
    </w:p>
    <w:tbl>
      <w:tblPr>
        <w:tblStyle w:val="9"/>
        <w:tblW w:w="10915" w:type="dxa"/>
        <w:tblInd w:w="-1139" w:type="dxa"/>
        <w:tblLook w:val="04A0" w:firstRow="1" w:lastRow="0" w:firstColumn="1" w:lastColumn="0" w:noHBand="0" w:noVBand="1"/>
      </w:tblPr>
      <w:tblGrid>
        <w:gridCol w:w="717"/>
        <w:gridCol w:w="5095"/>
        <w:gridCol w:w="5103"/>
      </w:tblGrid>
      <w:tr w:rsidR="00694279" w:rsidRPr="00694279" w:rsidTr="006D2998">
        <w:tc>
          <w:tcPr>
            <w:tcW w:w="717" w:type="dxa"/>
          </w:tcPr>
          <w:p w:rsidR="00694279" w:rsidRPr="00694279" w:rsidRDefault="00694279" w:rsidP="00694279">
            <w:pPr>
              <w:ind w:left="0"/>
              <w:jc w:val="center"/>
              <w:rPr>
                <w:spacing w:val="-6"/>
                <w:kern w:val="2"/>
                <w:sz w:val="22"/>
                <w:szCs w:val="26"/>
                <w14:ligatures w14:val="standardContextual"/>
              </w:rPr>
            </w:pPr>
            <w:r w:rsidRPr="00694279">
              <w:rPr>
                <w:spacing w:val="-6"/>
                <w:kern w:val="2"/>
                <w:sz w:val="22"/>
                <w:szCs w:val="26"/>
                <w14:ligatures w14:val="standardContextual"/>
              </w:rPr>
              <w:t>№</w:t>
            </w:r>
          </w:p>
        </w:tc>
        <w:tc>
          <w:tcPr>
            <w:tcW w:w="5095" w:type="dxa"/>
          </w:tcPr>
          <w:p w:rsidR="00694279" w:rsidRPr="00694279" w:rsidRDefault="00694279" w:rsidP="00694279">
            <w:pPr>
              <w:ind w:left="0"/>
              <w:jc w:val="center"/>
              <w:rPr>
                <w:spacing w:val="-6"/>
                <w:kern w:val="2"/>
                <w:sz w:val="22"/>
                <w:szCs w:val="26"/>
                <w14:ligatures w14:val="standardContextual"/>
              </w:rPr>
            </w:pPr>
            <w:r w:rsidRPr="00694279">
              <w:rPr>
                <w:b/>
                <w:spacing w:val="-6"/>
                <w:kern w:val="2"/>
                <w:sz w:val="22"/>
                <w:szCs w:val="26"/>
                <w14:ligatures w14:val="standardContextual"/>
              </w:rPr>
              <w:t>Действующая редакция</w:t>
            </w:r>
          </w:p>
        </w:tc>
        <w:tc>
          <w:tcPr>
            <w:tcW w:w="5103" w:type="dxa"/>
          </w:tcPr>
          <w:p w:rsidR="00694279" w:rsidRPr="00694279" w:rsidRDefault="00694279" w:rsidP="00694279">
            <w:pPr>
              <w:ind w:left="0"/>
              <w:jc w:val="center"/>
              <w:rPr>
                <w:spacing w:val="-6"/>
                <w:kern w:val="2"/>
                <w:sz w:val="22"/>
                <w:szCs w:val="26"/>
                <w14:ligatures w14:val="standardContextual"/>
              </w:rPr>
            </w:pPr>
            <w:r w:rsidRPr="00694279">
              <w:rPr>
                <w:b/>
                <w:spacing w:val="-6"/>
                <w:kern w:val="2"/>
                <w:sz w:val="22"/>
                <w:szCs w:val="26"/>
                <w14:ligatures w14:val="standardContextual"/>
              </w:rPr>
              <w:t>Предлагаемая редакция</w:t>
            </w:r>
          </w:p>
        </w:tc>
      </w:tr>
      <w:tr w:rsidR="00694279" w:rsidRPr="00694279" w:rsidTr="006D2998">
        <w:trPr>
          <w:trHeight w:val="56"/>
        </w:trPr>
        <w:tc>
          <w:tcPr>
            <w:tcW w:w="717" w:type="dxa"/>
          </w:tcPr>
          <w:p w:rsidR="00694279" w:rsidRPr="00694279" w:rsidRDefault="00694279" w:rsidP="00694279">
            <w:pPr>
              <w:ind w:left="0" w:firstLine="709"/>
              <w:jc w:val="both"/>
              <w:rPr>
                <w:sz w:val="22"/>
                <w:szCs w:val="26"/>
              </w:rPr>
            </w:pPr>
          </w:p>
        </w:tc>
        <w:tc>
          <w:tcPr>
            <w:tcW w:w="5095" w:type="dxa"/>
          </w:tcPr>
          <w:p w:rsidR="00694279" w:rsidRPr="00694279" w:rsidRDefault="00694279" w:rsidP="00694279">
            <w:pPr>
              <w:ind w:left="0" w:firstLine="709"/>
              <w:jc w:val="both"/>
              <w:outlineLvl w:val="1"/>
              <w:rPr>
                <w:sz w:val="22"/>
                <w:szCs w:val="26"/>
              </w:rPr>
            </w:pPr>
            <w:r w:rsidRPr="00694279">
              <w:rPr>
                <w:sz w:val="22"/>
                <w:szCs w:val="26"/>
              </w:rPr>
              <w:t>Статья 24. Контракт</w:t>
            </w:r>
          </w:p>
          <w:p w:rsidR="00694279" w:rsidRPr="00694279" w:rsidRDefault="00694279" w:rsidP="00694279">
            <w:pPr>
              <w:ind w:left="0" w:firstLine="709"/>
              <w:jc w:val="both"/>
              <w:rPr>
                <w:sz w:val="22"/>
                <w:szCs w:val="26"/>
              </w:rPr>
            </w:pPr>
            <w:r w:rsidRPr="00694279">
              <w:rPr>
                <w:sz w:val="22"/>
                <w:szCs w:val="26"/>
              </w:rPr>
              <w:t>4. В контракт включается обязательное условие о порядке и сроках оплаты товара, работы или услуги, о порядке и сроках осуществления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а также о порядке и сроках оформления результатов такой приемки.</w:t>
            </w:r>
          </w:p>
          <w:p w:rsidR="00694279" w:rsidRPr="00694279" w:rsidRDefault="00694279" w:rsidP="00694279">
            <w:pPr>
              <w:ind w:left="0" w:firstLine="709"/>
              <w:jc w:val="both"/>
              <w:rPr>
                <w:sz w:val="22"/>
                <w:szCs w:val="26"/>
              </w:rPr>
            </w:pPr>
            <w:r w:rsidRPr="00694279">
              <w:rPr>
                <w:sz w:val="22"/>
                <w:szCs w:val="26"/>
              </w:rPr>
              <w:t>В контракте должна быть указана обязанность поставщика (подрядчика, исполнителя) представлять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10 процентов цены контракта.</w:t>
            </w:r>
          </w:p>
          <w:p w:rsidR="00694279" w:rsidRPr="00694279" w:rsidRDefault="00694279" w:rsidP="00694279">
            <w:pPr>
              <w:ind w:left="0" w:firstLine="709"/>
              <w:jc w:val="both"/>
              <w:rPr>
                <w:sz w:val="22"/>
                <w:szCs w:val="26"/>
              </w:rPr>
            </w:pPr>
            <w:r w:rsidRPr="00694279">
              <w:rPr>
                <w:sz w:val="22"/>
                <w:szCs w:val="26"/>
              </w:rPr>
              <w:t xml:space="preserve">Указанная в части второй настоящего пункта информация представляется заказчику поставщиком (подрядчиком, исполнителем) в течение 10 (десяти) дней с момента заключения им договора с соисполнителем, субподрядчиком. </w:t>
            </w:r>
          </w:p>
          <w:p w:rsidR="00694279" w:rsidRPr="00694279" w:rsidRDefault="00694279" w:rsidP="00694279">
            <w:pPr>
              <w:ind w:left="0" w:firstLine="709"/>
              <w:jc w:val="both"/>
              <w:rPr>
                <w:sz w:val="22"/>
                <w:szCs w:val="26"/>
              </w:rPr>
            </w:pPr>
            <w:r w:rsidRPr="00694279">
              <w:rPr>
                <w:sz w:val="22"/>
                <w:szCs w:val="26"/>
              </w:rPr>
              <w:t>В контракте должна быть предусмотрена ответственность за непредставление информации, указанной в части второй настоящего пункта, путем взыскания с поставщика (подрядчика, исполнителя) пеней в размере не менее чем 0,05 процента от цены договора, заключенного поставщиком (подрядчиком, исполнителем) с соисполнителем, субподрядчиком в соответствии с настоящей частью. Пени подлежат начислению за каждый день просрочки исполнения такого обязательства.</w:t>
            </w:r>
          </w:p>
          <w:p w:rsidR="00694279" w:rsidRPr="00694279" w:rsidRDefault="00694279" w:rsidP="00694279">
            <w:pPr>
              <w:ind w:left="0" w:firstLine="709"/>
              <w:jc w:val="both"/>
              <w:rPr>
                <w:sz w:val="22"/>
                <w:szCs w:val="26"/>
              </w:rPr>
            </w:pPr>
            <w:r w:rsidRPr="00694279">
              <w:rPr>
                <w:sz w:val="22"/>
                <w:szCs w:val="26"/>
              </w:rPr>
              <w:t>Непредставление информации, указанной в части второй настоящего пункта, поставщиком (подрядчиком, исполнителем) не влечет за собой недействительность заключенного контракта по данному основанию.</w:t>
            </w:r>
          </w:p>
          <w:p w:rsidR="00694279" w:rsidRPr="00694279" w:rsidRDefault="00694279" w:rsidP="00694279">
            <w:pPr>
              <w:ind w:left="0" w:firstLine="709"/>
              <w:contextualSpacing/>
              <w:jc w:val="both"/>
              <w:rPr>
                <w:b/>
                <w:bCs/>
                <w:sz w:val="22"/>
                <w:szCs w:val="26"/>
              </w:rPr>
            </w:pPr>
            <w:r w:rsidRPr="00694279">
              <w:rPr>
                <w:b/>
                <w:bCs/>
                <w:sz w:val="22"/>
                <w:szCs w:val="26"/>
              </w:rPr>
              <w:t xml:space="preserve">Часть шестая отсутствует </w:t>
            </w:r>
          </w:p>
          <w:p w:rsidR="00694279" w:rsidRPr="00694279" w:rsidRDefault="00694279" w:rsidP="00694279">
            <w:pPr>
              <w:ind w:left="0" w:firstLine="709"/>
              <w:contextualSpacing/>
              <w:jc w:val="both"/>
              <w:rPr>
                <w:b/>
                <w:bCs/>
                <w:sz w:val="22"/>
                <w:szCs w:val="26"/>
              </w:rPr>
            </w:pPr>
          </w:p>
          <w:p w:rsidR="00694279" w:rsidRPr="00694279" w:rsidRDefault="00694279" w:rsidP="00694279">
            <w:pPr>
              <w:ind w:left="0" w:firstLine="709"/>
              <w:contextualSpacing/>
              <w:jc w:val="both"/>
              <w:rPr>
                <w:b/>
                <w:bCs/>
                <w:sz w:val="22"/>
                <w:szCs w:val="26"/>
              </w:rPr>
            </w:pPr>
          </w:p>
          <w:p w:rsidR="00694279" w:rsidRPr="00694279" w:rsidRDefault="00694279" w:rsidP="00694279">
            <w:pPr>
              <w:ind w:left="0" w:firstLine="709"/>
              <w:contextualSpacing/>
              <w:jc w:val="both"/>
              <w:rPr>
                <w:b/>
                <w:bCs/>
                <w:sz w:val="22"/>
                <w:szCs w:val="26"/>
              </w:rPr>
            </w:pPr>
          </w:p>
          <w:p w:rsidR="00694279" w:rsidRPr="00694279" w:rsidRDefault="00694279" w:rsidP="00694279">
            <w:pPr>
              <w:ind w:left="0" w:firstLine="709"/>
              <w:contextualSpacing/>
              <w:jc w:val="both"/>
              <w:rPr>
                <w:b/>
                <w:bCs/>
                <w:sz w:val="22"/>
                <w:szCs w:val="26"/>
              </w:rPr>
            </w:pPr>
          </w:p>
          <w:p w:rsidR="00694279" w:rsidRPr="00694279" w:rsidRDefault="00694279" w:rsidP="00694279">
            <w:pPr>
              <w:ind w:left="0" w:firstLine="709"/>
              <w:contextualSpacing/>
              <w:jc w:val="both"/>
              <w:rPr>
                <w:b/>
                <w:bCs/>
                <w:sz w:val="22"/>
                <w:szCs w:val="26"/>
              </w:rPr>
            </w:pPr>
          </w:p>
          <w:p w:rsidR="00694279" w:rsidRPr="00694279" w:rsidRDefault="00694279" w:rsidP="00694279">
            <w:pPr>
              <w:ind w:left="0" w:firstLine="709"/>
              <w:contextualSpacing/>
              <w:jc w:val="both"/>
              <w:rPr>
                <w:b/>
                <w:bCs/>
                <w:sz w:val="22"/>
                <w:szCs w:val="26"/>
              </w:rPr>
            </w:pPr>
          </w:p>
          <w:p w:rsidR="00694279" w:rsidRPr="00694279" w:rsidRDefault="00694279" w:rsidP="00694279">
            <w:pPr>
              <w:ind w:left="0"/>
              <w:jc w:val="both"/>
              <w:rPr>
                <w:sz w:val="22"/>
                <w:szCs w:val="26"/>
              </w:rPr>
            </w:pPr>
          </w:p>
        </w:tc>
        <w:tc>
          <w:tcPr>
            <w:tcW w:w="5103" w:type="dxa"/>
          </w:tcPr>
          <w:p w:rsidR="00694279" w:rsidRPr="00694279" w:rsidRDefault="00694279" w:rsidP="00694279">
            <w:pPr>
              <w:ind w:left="0"/>
              <w:jc w:val="both"/>
              <w:rPr>
                <w:sz w:val="22"/>
                <w:szCs w:val="26"/>
              </w:rPr>
            </w:pPr>
            <w:r w:rsidRPr="00694279">
              <w:rPr>
                <w:sz w:val="22"/>
                <w:szCs w:val="26"/>
              </w:rPr>
              <w:t xml:space="preserve">        Статья 24. Контракт</w:t>
            </w:r>
          </w:p>
          <w:p w:rsidR="00694279" w:rsidRPr="00694279" w:rsidRDefault="00694279" w:rsidP="00694279">
            <w:pPr>
              <w:ind w:left="0" w:firstLine="709"/>
              <w:jc w:val="both"/>
              <w:rPr>
                <w:sz w:val="22"/>
                <w:szCs w:val="26"/>
              </w:rPr>
            </w:pPr>
            <w:r w:rsidRPr="00694279">
              <w:rPr>
                <w:sz w:val="22"/>
                <w:szCs w:val="26"/>
              </w:rPr>
              <w:t>4. В контракт включается обязательное условие о порядке и сроках оплаты товара, работы или услуги, о порядке и сроках осуществления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а также о порядке и сроках оформления результатов такой приемки.</w:t>
            </w:r>
          </w:p>
          <w:p w:rsidR="00694279" w:rsidRPr="00694279" w:rsidRDefault="00694279" w:rsidP="00694279">
            <w:pPr>
              <w:ind w:left="0" w:firstLine="709"/>
              <w:jc w:val="both"/>
              <w:rPr>
                <w:sz w:val="22"/>
                <w:szCs w:val="26"/>
              </w:rPr>
            </w:pPr>
            <w:r w:rsidRPr="00694279">
              <w:rPr>
                <w:sz w:val="22"/>
                <w:szCs w:val="26"/>
              </w:rPr>
              <w:t>В контракте должна быть указана обязанность поставщика (подрядчика, исполнителя) представлять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10 процентов цены контракта.</w:t>
            </w:r>
          </w:p>
          <w:p w:rsidR="00694279" w:rsidRPr="00694279" w:rsidRDefault="00694279" w:rsidP="00694279">
            <w:pPr>
              <w:ind w:left="0" w:firstLine="709"/>
              <w:jc w:val="both"/>
              <w:rPr>
                <w:sz w:val="22"/>
                <w:szCs w:val="26"/>
              </w:rPr>
            </w:pPr>
            <w:r w:rsidRPr="00694279">
              <w:rPr>
                <w:sz w:val="22"/>
                <w:szCs w:val="26"/>
              </w:rPr>
              <w:t xml:space="preserve">Указанная в части второй настоящего пункта информация представляется заказчику поставщиком (подрядчиком, исполнителем) в течение 10 (десяти) дней с момента заключения им договора с соисполнителем, субподрядчиком. </w:t>
            </w:r>
          </w:p>
          <w:p w:rsidR="00694279" w:rsidRPr="00694279" w:rsidRDefault="00694279" w:rsidP="00694279">
            <w:pPr>
              <w:ind w:left="0" w:firstLine="709"/>
              <w:jc w:val="both"/>
              <w:rPr>
                <w:sz w:val="22"/>
                <w:szCs w:val="26"/>
              </w:rPr>
            </w:pPr>
            <w:r w:rsidRPr="00694279">
              <w:rPr>
                <w:sz w:val="22"/>
                <w:szCs w:val="26"/>
              </w:rPr>
              <w:t>В контракте должна быть предусмотрена ответственность за непредставление информации, указанной в части второй настоящего пункта, путем взыскания с поставщика (подрядчика, исполнителя) пеней в размере не менее чем 0,05 процента от цены договора, заключенного поставщиком (подрядчиком, исполнителем) с соисполнителем, субподрядчиком в соответствии с настоящей частью. Пени подлежат начислению за каждый день просрочки исполнения такого обязательства.</w:t>
            </w:r>
          </w:p>
          <w:p w:rsidR="00694279" w:rsidRPr="00694279" w:rsidRDefault="00694279" w:rsidP="00694279">
            <w:pPr>
              <w:ind w:left="0" w:firstLine="709"/>
              <w:jc w:val="both"/>
              <w:rPr>
                <w:sz w:val="22"/>
                <w:szCs w:val="26"/>
              </w:rPr>
            </w:pPr>
            <w:r w:rsidRPr="00694279">
              <w:rPr>
                <w:sz w:val="22"/>
                <w:szCs w:val="26"/>
              </w:rPr>
              <w:t>Непредставление информации, указанной в части второй настоящего пункта, поставщиком (подрядчиком, исполнителем) не влечет за собой недействительность заключенного контракта по данному основанию.</w:t>
            </w:r>
          </w:p>
          <w:p w:rsidR="00694279" w:rsidRPr="00694279" w:rsidRDefault="00694279" w:rsidP="00694279">
            <w:pPr>
              <w:ind w:left="0"/>
              <w:jc w:val="both"/>
              <w:rPr>
                <w:b/>
                <w:sz w:val="22"/>
                <w:szCs w:val="26"/>
              </w:rPr>
            </w:pPr>
            <w:r w:rsidRPr="00694279">
              <w:rPr>
                <w:b/>
                <w:sz w:val="22"/>
                <w:szCs w:val="26"/>
              </w:rPr>
              <w:t xml:space="preserve">        В контракт включается обязательное условие об ответственности поставщика (подрядчика, исполнителя) за недостатки товара (работы, услуги) выявленные в течении гарантийного срока посредством установления в контракте пени в размере 0,05 процента от стоимости товара (работы, услуги) ненадлежащего качества уплачиваемой поставщиком (подрядчиком, исполнителем) за каждый день устранения выявленных недостатков, </w:t>
            </w:r>
            <w:r w:rsidRPr="00694279">
              <w:rPr>
                <w:b/>
                <w:sz w:val="22"/>
                <w:szCs w:val="22"/>
              </w:rPr>
              <w:t>с момента предъявления требования об их устранении.</w:t>
            </w:r>
            <w:r w:rsidRPr="00694279">
              <w:rPr>
                <w:b/>
                <w:sz w:val="22"/>
                <w:szCs w:val="26"/>
              </w:rPr>
              <w:t xml:space="preserve"> Также обязательным условием контракта является установление срока устранения выявленных недостатков.</w:t>
            </w:r>
          </w:p>
        </w:tc>
      </w:tr>
    </w:tbl>
    <w:p w:rsidR="008926AE" w:rsidRPr="00677842" w:rsidRDefault="008926AE" w:rsidP="00694279">
      <w:pPr>
        <w:ind w:left="0"/>
        <w:rPr>
          <w:rFonts w:eastAsia="Calibri"/>
        </w:rPr>
      </w:pPr>
      <w:bookmarkStart w:id="0" w:name="_GoBack"/>
      <w:bookmarkEnd w:id="0"/>
    </w:p>
    <w:sectPr w:rsidR="008926AE" w:rsidRPr="00677842" w:rsidSect="00A701B9">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1A5B2F"/>
    <w:multiLevelType w:val="hybridMultilevel"/>
    <w:tmpl w:val="379E2F46"/>
    <w:lvl w:ilvl="0" w:tplc="A4C82C26">
      <w:start w:val="1"/>
      <w:numFmt w:val="decimal"/>
      <w:lvlText w:val="%1."/>
      <w:lvlJc w:val="left"/>
      <w:pPr>
        <w:ind w:left="52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9E"/>
    <w:rsid w:val="0001734C"/>
    <w:rsid w:val="00022EA6"/>
    <w:rsid w:val="00051996"/>
    <w:rsid w:val="000872C8"/>
    <w:rsid w:val="000C1AB0"/>
    <w:rsid w:val="0010443E"/>
    <w:rsid w:val="00147B5A"/>
    <w:rsid w:val="001764E8"/>
    <w:rsid w:val="00234162"/>
    <w:rsid w:val="00336B91"/>
    <w:rsid w:val="0040279E"/>
    <w:rsid w:val="00402C3C"/>
    <w:rsid w:val="004204C5"/>
    <w:rsid w:val="005669D6"/>
    <w:rsid w:val="005F0727"/>
    <w:rsid w:val="005F790B"/>
    <w:rsid w:val="0062219E"/>
    <w:rsid w:val="00666CFF"/>
    <w:rsid w:val="00677842"/>
    <w:rsid w:val="00694279"/>
    <w:rsid w:val="006F2894"/>
    <w:rsid w:val="007140FC"/>
    <w:rsid w:val="0072713F"/>
    <w:rsid w:val="00736078"/>
    <w:rsid w:val="00745731"/>
    <w:rsid w:val="00770CB3"/>
    <w:rsid w:val="007C3B6C"/>
    <w:rsid w:val="00850477"/>
    <w:rsid w:val="00853717"/>
    <w:rsid w:val="008926AE"/>
    <w:rsid w:val="0091069F"/>
    <w:rsid w:val="00922BB1"/>
    <w:rsid w:val="00945F4B"/>
    <w:rsid w:val="00947364"/>
    <w:rsid w:val="009C0CBA"/>
    <w:rsid w:val="00A32DA4"/>
    <w:rsid w:val="00A500D1"/>
    <w:rsid w:val="00B62C7E"/>
    <w:rsid w:val="00B90E5E"/>
    <w:rsid w:val="00BF25F5"/>
    <w:rsid w:val="00C30074"/>
    <w:rsid w:val="00C30585"/>
    <w:rsid w:val="00C54BC4"/>
    <w:rsid w:val="00CA389A"/>
    <w:rsid w:val="00D45EF5"/>
    <w:rsid w:val="00DC2A0D"/>
    <w:rsid w:val="00E4664D"/>
    <w:rsid w:val="00E55D71"/>
    <w:rsid w:val="00E67E22"/>
    <w:rsid w:val="00F137A8"/>
    <w:rsid w:val="00F61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661512-549D-42B1-BE50-4F6951BE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9E"/>
    <w:pPr>
      <w:ind w:left="204"/>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279E"/>
    <w:pPr>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 Знак,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Знак3,Знак Зна,Зн,З,Текст Знак1 Знак, Знак, "/>
    <w:basedOn w:val="a"/>
    <w:link w:val="a5"/>
    <w:rsid w:val="0040279E"/>
    <w:pPr>
      <w:ind w:left="0"/>
      <w:jc w:val="left"/>
    </w:pPr>
    <w:rPr>
      <w:rFonts w:ascii="Courier New" w:hAnsi="Courier New" w:cs="Courier New"/>
      <w:sz w:val="20"/>
      <w:szCs w:val="20"/>
    </w:rPr>
  </w:style>
  <w:style w:type="character" w:customStyle="1" w:styleId="a5">
    <w:name w:val="Текст Знак"/>
    <w:aliases w:val="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Знак3 Знак,Знак Зна Знак"/>
    <w:basedOn w:val="a0"/>
    <w:link w:val="a4"/>
    <w:rsid w:val="0040279E"/>
    <w:rPr>
      <w:rFonts w:ascii="Courier New" w:eastAsia="Times New Roman" w:hAnsi="Courier New" w:cs="Courier New"/>
      <w:sz w:val="20"/>
      <w:szCs w:val="20"/>
      <w:lang w:eastAsia="ru-RU"/>
    </w:rPr>
  </w:style>
  <w:style w:type="paragraph" w:styleId="a6">
    <w:name w:val="List Paragraph"/>
    <w:basedOn w:val="a"/>
    <w:uiPriority w:val="34"/>
    <w:qFormat/>
    <w:rsid w:val="00F6164F"/>
    <w:pPr>
      <w:ind w:left="720"/>
      <w:contextualSpacing/>
      <w:jc w:val="left"/>
    </w:pPr>
  </w:style>
  <w:style w:type="character" w:customStyle="1" w:styleId="a7">
    <w:name w:val="Без интервала Знак"/>
    <w:link w:val="a8"/>
    <w:uiPriority w:val="1"/>
    <w:locked/>
    <w:rsid w:val="00F6164F"/>
    <w:rPr>
      <w:rFonts w:ascii="Times New Roman" w:eastAsia="Times New Roman" w:hAnsi="Times New Roman" w:cs="Times New Roman"/>
      <w:sz w:val="24"/>
      <w:szCs w:val="24"/>
    </w:rPr>
  </w:style>
  <w:style w:type="paragraph" w:styleId="a8">
    <w:name w:val="No Spacing"/>
    <w:link w:val="a7"/>
    <w:uiPriority w:val="1"/>
    <w:qFormat/>
    <w:rsid w:val="00F6164F"/>
    <w:pPr>
      <w:jc w:val="left"/>
    </w:pPr>
    <w:rPr>
      <w:rFonts w:ascii="Times New Roman" w:eastAsia="Times New Roman" w:hAnsi="Times New Roman" w:cs="Times New Roman"/>
      <w:sz w:val="24"/>
      <w:szCs w:val="24"/>
    </w:rPr>
  </w:style>
  <w:style w:type="table" w:customStyle="1" w:styleId="1">
    <w:name w:val="Сетка таблицы1"/>
    <w:basedOn w:val="a1"/>
    <w:next w:val="a3"/>
    <w:uiPriority w:val="39"/>
    <w:rsid w:val="0005199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Текст Знак3"/>
    <w:aliases w:val="Текст Знак1 Знак Знак,Текст Знак Знак Знак Знак, Знак Знак Знак Знак Знак,Знак Знак Знак Знак Знак1, Знак Знак1,Знак Знак Знак Знак Знак Знак,Знак Знак Знак Знак1 Знак, Знак Знак Знак"/>
    <w:rsid w:val="004204C5"/>
    <w:rPr>
      <w:rFonts w:ascii="Courier New" w:eastAsia="Times New Roman" w:hAnsi="Courier New" w:cs="Courier New"/>
      <w:sz w:val="20"/>
      <w:szCs w:val="20"/>
      <w:lang w:eastAsia="ru-RU"/>
    </w:rPr>
  </w:style>
  <w:style w:type="table" w:customStyle="1" w:styleId="6">
    <w:name w:val="Сетка таблицы6"/>
    <w:basedOn w:val="a1"/>
    <w:uiPriority w:val="59"/>
    <w:rsid w:val="008926AE"/>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B62C7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3"/>
    <w:uiPriority w:val="39"/>
    <w:rsid w:val="005F0727"/>
    <w:pPr>
      <w:jc w:val="left"/>
    </w:pPr>
    <w:rPr>
      <w:lang w:val="ru-M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unhideWhenUsed/>
    <w:rsid w:val="00A32DA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rsid w:val="00234162"/>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85047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39"/>
    <w:rsid w:val="00D45EF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39"/>
    <w:rsid w:val="00402C3C"/>
    <w:pPr>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39"/>
    <w:rsid w:val="0069427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595</Words>
  <Characters>3395</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Тодорашко Любовь Владимировна</dc:creator>
  <cp:keywords/>
  <dc:description/>
  <cp:lastModifiedBy>Тодорашко Любовь Владимировна</cp:lastModifiedBy>
  <cp:revision>52</cp:revision>
  <dcterms:created xsi:type="dcterms:W3CDTF">2026-03-30T13:53:00Z</dcterms:created>
  <dcterms:modified xsi:type="dcterms:W3CDTF">2026-04-30T06:38:00Z</dcterms:modified>
</cp:coreProperties>
</file>