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81" w:rsidRPr="00996A81" w:rsidRDefault="00996A81" w:rsidP="00996A81">
      <w:pPr>
        <w:ind w:left="0"/>
        <w:jc w:val="center"/>
        <w:rPr>
          <w:rFonts w:eastAsia="Calibri"/>
          <w:bCs/>
          <w:lang w:eastAsia="en-US"/>
        </w:rPr>
      </w:pPr>
      <w:r w:rsidRPr="00996A81">
        <w:rPr>
          <w:rFonts w:eastAsia="Calibri"/>
          <w:bCs/>
          <w:lang w:eastAsia="en-US"/>
        </w:rPr>
        <w:t>Сравнительная таблица</w:t>
      </w:r>
    </w:p>
    <w:p w:rsidR="00996A81" w:rsidRPr="00996A81" w:rsidRDefault="00996A81" w:rsidP="00996A81">
      <w:pPr>
        <w:ind w:left="0"/>
        <w:jc w:val="center"/>
        <w:rPr>
          <w:rFonts w:eastAsia="Calibri"/>
          <w:lang w:eastAsia="en-US"/>
        </w:rPr>
      </w:pPr>
      <w:r w:rsidRPr="00996A81">
        <w:rPr>
          <w:rFonts w:eastAsia="Calibri"/>
          <w:lang w:eastAsia="en-US"/>
        </w:rPr>
        <w:t xml:space="preserve">к проекту закона Приднестровской Молдавской Республики </w:t>
      </w:r>
    </w:p>
    <w:p w:rsidR="00996A81" w:rsidRPr="00996A81" w:rsidRDefault="00996A81" w:rsidP="00996A81">
      <w:pPr>
        <w:ind w:left="0"/>
        <w:jc w:val="center"/>
        <w:rPr>
          <w:rFonts w:eastAsia="Calibri"/>
          <w:lang w:eastAsia="en-US"/>
        </w:rPr>
      </w:pPr>
      <w:r w:rsidRPr="00996A81">
        <w:rPr>
          <w:rFonts w:eastAsia="Calibri"/>
          <w:lang w:eastAsia="en-US"/>
        </w:rPr>
        <w:t xml:space="preserve">«О внесении изменения и дополнения в Закон Приднестровской Молдавской Республики </w:t>
      </w:r>
    </w:p>
    <w:p w:rsidR="00996A81" w:rsidRPr="00996A81" w:rsidRDefault="00996A81" w:rsidP="00996A81">
      <w:pPr>
        <w:ind w:left="0"/>
        <w:jc w:val="center"/>
        <w:rPr>
          <w:rFonts w:eastAsia="Calibri"/>
          <w:lang w:eastAsia="en-US"/>
        </w:rPr>
      </w:pPr>
      <w:r w:rsidRPr="00996A81">
        <w:rPr>
          <w:rFonts w:eastAsia="Calibri"/>
          <w:lang w:eastAsia="en-US"/>
        </w:rPr>
        <w:t xml:space="preserve">«О психиатрической помощи и гарантиях прав граждан при ее оказании» </w:t>
      </w:r>
    </w:p>
    <w:p w:rsidR="00996A81" w:rsidRPr="00996A81" w:rsidRDefault="00996A81" w:rsidP="00996A81">
      <w:pPr>
        <w:ind w:left="0"/>
        <w:jc w:val="center"/>
        <w:rPr>
          <w:rFonts w:eastAsia="Calibri"/>
          <w:b/>
          <w:lang w:eastAsia="en-US"/>
        </w:rPr>
      </w:pPr>
    </w:p>
    <w:tbl>
      <w:tblPr>
        <w:tblW w:w="5338" w:type="pct"/>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69"/>
        <w:gridCol w:w="5005"/>
      </w:tblGrid>
      <w:tr w:rsidR="00996A81" w:rsidRPr="00996A81" w:rsidTr="00595B0E">
        <w:trPr>
          <w:trHeight w:val="120"/>
        </w:trPr>
        <w:tc>
          <w:tcPr>
            <w:tcW w:w="2491" w:type="pct"/>
            <w:tcBorders>
              <w:left w:val="single" w:sz="4" w:space="0" w:color="auto"/>
            </w:tcBorders>
          </w:tcPr>
          <w:p w:rsidR="00996A81" w:rsidRPr="00996A81" w:rsidRDefault="00996A81" w:rsidP="00996A81">
            <w:pPr>
              <w:ind w:left="0"/>
              <w:jc w:val="center"/>
              <w:rPr>
                <w:rFonts w:eastAsia="Calibri"/>
                <w:lang w:eastAsia="en-US"/>
              </w:rPr>
            </w:pPr>
            <w:r w:rsidRPr="00996A81">
              <w:rPr>
                <w:rFonts w:eastAsia="Calibri"/>
                <w:lang w:eastAsia="en-US"/>
              </w:rPr>
              <w:t>Действующая редакция</w:t>
            </w:r>
          </w:p>
        </w:tc>
        <w:tc>
          <w:tcPr>
            <w:tcW w:w="2509" w:type="pct"/>
          </w:tcPr>
          <w:p w:rsidR="00996A81" w:rsidRPr="00996A81" w:rsidRDefault="00996A81" w:rsidP="00996A81">
            <w:pPr>
              <w:ind w:left="0" w:right="-107"/>
              <w:jc w:val="center"/>
              <w:rPr>
                <w:rFonts w:eastAsia="Calibri"/>
                <w:lang w:eastAsia="en-US"/>
              </w:rPr>
            </w:pPr>
            <w:r w:rsidRPr="00996A81">
              <w:rPr>
                <w:rFonts w:eastAsia="Calibri"/>
                <w:lang w:eastAsia="en-US"/>
              </w:rPr>
              <w:t>Предлагаемая редакция</w:t>
            </w:r>
          </w:p>
        </w:tc>
      </w:tr>
      <w:tr w:rsidR="00996A81" w:rsidRPr="00996A81" w:rsidTr="00595B0E">
        <w:trPr>
          <w:trHeight w:val="1748"/>
        </w:trPr>
        <w:tc>
          <w:tcPr>
            <w:tcW w:w="2491" w:type="pct"/>
            <w:tcBorders>
              <w:top w:val="single" w:sz="4" w:space="0" w:color="auto"/>
              <w:left w:val="single" w:sz="4" w:space="0" w:color="auto"/>
              <w:bottom w:val="single" w:sz="4" w:space="0" w:color="auto"/>
            </w:tcBorders>
          </w:tcPr>
          <w:p w:rsidR="00996A81" w:rsidRPr="00996A81" w:rsidRDefault="00996A81" w:rsidP="00996A81">
            <w:pPr>
              <w:ind w:left="0"/>
              <w:rPr>
                <w:rFonts w:eastAsia="Calibri"/>
                <w:snapToGrid w:val="0"/>
                <w:lang w:eastAsia="en-US"/>
              </w:rPr>
            </w:pPr>
            <w:r w:rsidRPr="00996A81">
              <w:rPr>
                <w:rFonts w:eastAsia="Calibri"/>
                <w:b/>
                <w:bCs/>
                <w:snapToGrid w:val="0"/>
                <w:lang w:eastAsia="en-US"/>
              </w:rPr>
              <w:t>Статья 11</w:t>
            </w:r>
            <w:r w:rsidRPr="00996A81">
              <w:rPr>
                <w:rFonts w:eastAsia="Calibri"/>
                <w:snapToGrid w:val="0"/>
                <w:lang w:eastAsia="en-US"/>
              </w:rPr>
              <w:t>. Принудительные меры медицинского характера</w:t>
            </w:r>
          </w:p>
          <w:p w:rsidR="00996A81" w:rsidRPr="00996A81" w:rsidRDefault="00996A81" w:rsidP="00996A81">
            <w:pPr>
              <w:ind w:left="0"/>
              <w:rPr>
                <w:rFonts w:eastAsia="Calibri"/>
                <w:snapToGrid w:val="0"/>
                <w:lang w:eastAsia="en-US"/>
              </w:rPr>
            </w:pPr>
          </w:p>
          <w:p w:rsidR="00996A81" w:rsidRPr="00996A81" w:rsidRDefault="00996A81" w:rsidP="00996A81">
            <w:pPr>
              <w:ind w:left="0" w:firstLine="457"/>
              <w:rPr>
                <w:rFonts w:eastAsia="Calibri"/>
                <w:snapToGrid w:val="0"/>
                <w:lang w:eastAsia="en-US"/>
              </w:rPr>
            </w:pPr>
            <w:r w:rsidRPr="00996A81">
              <w:rPr>
                <w:rFonts w:eastAsia="Calibri"/>
                <w:snapToGrid w:val="0"/>
                <w:lang w:eastAsia="en-US"/>
              </w:rPr>
              <w:t>1. Принудительные меры принудительного характера применяются по решению суда в отношении лиц, страдающих психическими расстройствами, совершивших общественно опасные деяния, по основаниям и в порядке, установленным действующим законодательством Приднестровской Молдавской Республики.</w:t>
            </w:r>
          </w:p>
          <w:p w:rsidR="00996A81" w:rsidRPr="00996A81" w:rsidRDefault="00996A81" w:rsidP="00996A81">
            <w:pPr>
              <w:ind w:left="0" w:firstLine="457"/>
              <w:rPr>
                <w:rFonts w:eastAsia="Calibri"/>
                <w:b/>
                <w:snapToGrid w:val="0"/>
                <w:lang w:eastAsia="en-US"/>
              </w:rPr>
            </w:pPr>
            <w:r w:rsidRPr="00996A81">
              <w:rPr>
                <w:rFonts w:eastAsia="Calibri"/>
                <w:b/>
                <w:snapToGrid w:val="0"/>
                <w:lang w:eastAsia="en-US"/>
              </w:rPr>
              <w:t>Отсутствует.</w:t>
            </w: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p>
          <w:p w:rsidR="00996A81" w:rsidRPr="00996A81" w:rsidRDefault="00996A81" w:rsidP="00996A81">
            <w:pPr>
              <w:ind w:left="0"/>
              <w:rPr>
                <w:rFonts w:eastAsia="Calibri"/>
                <w:snapToGrid w:val="0"/>
                <w:lang w:eastAsia="en-US"/>
              </w:rPr>
            </w:pPr>
            <w:r w:rsidRPr="00996A81">
              <w:rPr>
                <w:rFonts w:eastAsia="Calibri"/>
                <w:b/>
                <w:bCs/>
                <w:snapToGrid w:val="0"/>
                <w:lang w:eastAsia="en-US"/>
              </w:rPr>
              <w:t>Статья 19.</w:t>
            </w:r>
            <w:r w:rsidRPr="00996A81">
              <w:rPr>
                <w:rFonts w:eastAsia="Calibri"/>
                <w:snapToGrid w:val="0"/>
                <w:lang w:eastAsia="en-US"/>
              </w:rPr>
              <w:t xml:space="preserve"> Гарантии на льготы врачам-психиатрам, иным специалистам, медицинскому и другому персоналу, участвующим в оказании психиатрической помощи</w:t>
            </w:r>
          </w:p>
          <w:p w:rsidR="00996A81" w:rsidRPr="00996A81" w:rsidRDefault="00996A81" w:rsidP="00996A81">
            <w:pPr>
              <w:ind w:left="0"/>
              <w:rPr>
                <w:rFonts w:eastAsia="Calibri"/>
                <w:snapToGrid w:val="0"/>
                <w:lang w:eastAsia="en-US"/>
              </w:rPr>
            </w:pPr>
          </w:p>
          <w:p w:rsidR="00996A81" w:rsidRPr="00996A81" w:rsidRDefault="00996A81" w:rsidP="00996A81">
            <w:pPr>
              <w:ind w:left="0" w:firstLine="457"/>
              <w:rPr>
                <w:rFonts w:eastAsia="Calibri"/>
                <w:snapToGrid w:val="0"/>
                <w:lang w:eastAsia="en-US"/>
              </w:rPr>
            </w:pPr>
            <w:r w:rsidRPr="00996A81">
              <w:rPr>
                <w:rFonts w:eastAsia="Calibri"/>
                <w:snapToGrid w:val="0"/>
                <w:lang w:eastAsia="en-US"/>
              </w:rPr>
              <w:t xml:space="preserve">Врачи-психиатры, иные специалисты, медицинский и другой персонал, участвующие в оказании психиатрической помощи, имеют право на льготы, установленные законодательством Приднестровской Молдавской Республики для лиц, занятых деятельностью в особых условиях труда, а также подлежат обязательному государственному страхованию на случай причинения вреда их здоровью или смерти при исполнении служебных обязанностей. В случае причинения вреда здоровью, повлекшего временную утрату трудоспособности лица, участвующего в оказании психиатрической помощи, ему выплачивается страховая сумма в пределах его годового денежного содержания в зависимости от тяжести причиненного ущерба. При наступлении </w:t>
            </w:r>
            <w:r w:rsidRPr="00996A81">
              <w:rPr>
                <w:rFonts w:eastAsia="Calibri"/>
                <w:snapToGrid w:val="0"/>
                <w:lang w:eastAsia="en-US"/>
              </w:rPr>
              <w:lastRenderedPageBreak/>
              <w:t xml:space="preserve">инвалидности страховая сумма выплачивается в размере от годового до пятилетнего денежного содержания в зависимости от степени утраты трудоспособности лица, а в случае его смерти страховая сумма выплачивается его наследникам в размере десятикратного годового денежного содержания. </w:t>
            </w:r>
          </w:p>
          <w:p w:rsidR="00996A81" w:rsidRPr="00996A81" w:rsidRDefault="00996A81" w:rsidP="00996A81">
            <w:pPr>
              <w:ind w:left="0"/>
              <w:rPr>
                <w:rFonts w:eastAsia="Calibri"/>
                <w:lang w:eastAsia="en-US"/>
              </w:rPr>
            </w:pPr>
          </w:p>
        </w:tc>
        <w:tc>
          <w:tcPr>
            <w:tcW w:w="2509" w:type="pct"/>
            <w:tcBorders>
              <w:top w:val="single" w:sz="4" w:space="0" w:color="auto"/>
              <w:bottom w:val="single" w:sz="4" w:space="0" w:color="auto"/>
            </w:tcBorders>
          </w:tcPr>
          <w:p w:rsidR="00996A81" w:rsidRPr="00996A81" w:rsidRDefault="00996A81" w:rsidP="00996A81">
            <w:pPr>
              <w:ind w:left="0"/>
              <w:rPr>
                <w:rFonts w:eastAsia="Calibri"/>
                <w:snapToGrid w:val="0"/>
                <w:lang w:eastAsia="en-US"/>
              </w:rPr>
            </w:pPr>
            <w:r w:rsidRPr="00996A81">
              <w:rPr>
                <w:rFonts w:eastAsia="Calibri"/>
                <w:b/>
                <w:bCs/>
                <w:snapToGrid w:val="0"/>
                <w:lang w:eastAsia="en-US"/>
              </w:rPr>
              <w:lastRenderedPageBreak/>
              <w:t>Статья 11</w:t>
            </w:r>
            <w:r w:rsidRPr="00996A81">
              <w:rPr>
                <w:rFonts w:eastAsia="Calibri"/>
                <w:snapToGrid w:val="0"/>
                <w:lang w:eastAsia="en-US"/>
              </w:rPr>
              <w:t>. Принудительные меры медицинского характера</w:t>
            </w:r>
          </w:p>
          <w:p w:rsidR="00996A81" w:rsidRPr="00996A81" w:rsidRDefault="00996A81" w:rsidP="00996A81">
            <w:pPr>
              <w:ind w:left="0"/>
              <w:rPr>
                <w:rFonts w:eastAsia="Calibri"/>
                <w:snapToGrid w:val="0"/>
                <w:lang w:eastAsia="en-US"/>
              </w:rPr>
            </w:pPr>
          </w:p>
          <w:p w:rsidR="00996A81" w:rsidRPr="00996A81" w:rsidRDefault="00996A81" w:rsidP="00996A81">
            <w:pPr>
              <w:ind w:left="0" w:firstLine="334"/>
              <w:rPr>
                <w:rFonts w:eastAsia="Calibri"/>
                <w:snapToGrid w:val="0"/>
                <w:lang w:eastAsia="en-US"/>
              </w:rPr>
            </w:pPr>
            <w:r w:rsidRPr="00996A81">
              <w:rPr>
                <w:rFonts w:eastAsia="Calibri"/>
                <w:snapToGrid w:val="0"/>
                <w:lang w:eastAsia="en-US"/>
              </w:rPr>
              <w:t>1. Принудительные меры принудительного характера применяются по решению суда в отношении лиц, страдающих психическими расстройствами, совершивших общественно опасные деяния, по основаниям и в порядке, установленным действующим законодательством Приднестровской Молдавской Республики.</w:t>
            </w:r>
          </w:p>
          <w:p w:rsidR="00996A81" w:rsidRPr="00996A81" w:rsidRDefault="00996A81" w:rsidP="00996A81">
            <w:pPr>
              <w:ind w:left="0" w:firstLine="476"/>
              <w:rPr>
                <w:rFonts w:eastAsia="Calibri"/>
                <w:b/>
                <w:bCs/>
                <w:snapToGrid w:val="0"/>
                <w:lang w:eastAsia="en-US"/>
              </w:rPr>
            </w:pPr>
            <w:r w:rsidRPr="00996A81">
              <w:rPr>
                <w:rFonts w:eastAsia="Calibri"/>
                <w:b/>
                <w:bCs/>
                <w:snapToGrid w:val="0"/>
                <w:lang w:eastAsia="en-US"/>
              </w:rPr>
              <w:t>Направление администрацией психиатрического учреждения в суд заявления о продлении принудительного лечения лиц, страдающих психическими расстройствами, совершивших общественно опасные деяния, осуществляется не позднее, чем через 48 (сорок восемь) часов после наступления обстоятельств, свидетельствующих о необходимости продления срока принудительного лечения указанных лиц.</w:t>
            </w:r>
          </w:p>
          <w:p w:rsidR="00996A81" w:rsidRPr="00996A81" w:rsidRDefault="00996A81" w:rsidP="00996A81">
            <w:pPr>
              <w:ind w:left="0"/>
              <w:rPr>
                <w:rFonts w:eastAsia="Calibri"/>
                <w:b/>
                <w:bCs/>
                <w:snapToGrid w:val="0"/>
                <w:lang w:eastAsia="en-US"/>
              </w:rPr>
            </w:pPr>
          </w:p>
          <w:p w:rsidR="00996A81" w:rsidRPr="00996A81" w:rsidRDefault="00996A81" w:rsidP="00996A81">
            <w:pPr>
              <w:ind w:left="0"/>
              <w:rPr>
                <w:rFonts w:eastAsia="Calibri"/>
                <w:snapToGrid w:val="0"/>
                <w:lang w:eastAsia="en-US"/>
              </w:rPr>
            </w:pPr>
            <w:r w:rsidRPr="00996A81">
              <w:rPr>
                <w:rFonts w:eastAsia="Calibri"/>
                <w:b/>
                <w:bCs/>
                <w:snapToGrid w:val="0"/>
                <w:lang w:eastAsia="en-US"/>
              </w:rPr>
              <w:t>Статья 19</w:t>
            </w:r>
            <w:r w:rsidRPr="00996A81">
              <w:rPr>
                <w:rFonts w:eastAsia="Calibri"/>
                <w:snapToGrid w:val="0"/>
                <w:lang w:eastAsia="en-US"/>
              </w:rPr>
              <w:t>. Гарантии на льготы врачам-психиатрам, иным специалистам, медицинскому и другому персоналу, участвующим в оказании психиатрической помощи</w:t>
            </w:r>
          </w:p>
          <w:p w:rsidR="00996A81" w:rsidRPr="00996A81" w:rsidRDefault="00996A81" w:rsidP="00996A81">
            <w:pPr>
              <w:ind w:left="0"/>
              <w:rPr>
                <w:rFonts w:eastAsia="Calibri"/>
                <w:snapToGrid w:val="0"/>
                <w:lang w:eastAsia="en-US"/>
              </w:rPr>
            </w:pPr>
          </w:p>
          <w:p w:rsidR="00996A81" w:rsidRPr="00996A81" w:rsidRDefault="00996A81" w:rsidP="00996A81">
            <w:pPr>
              <w:ind w:left="0" w:firstLine="334"/>
              <w:rPr>
                <w:rFonts w:eastAsia="Calibri"/>
                <w:b/>
                <w:bCs/>
                <w:snapToGrid w:val="0"/>
                <w:lang w:eastAsia="en-US"/>
              </w:rPr>
            </w:pPr>
            <w:r w:rsidRPr="00996A81">
              <w:rPr>
                <w:rFonts w:eastAsia="Calibri"/>
                <w:b/>
                <w:bCs/>
                <w:snapToGrid w:val="0"/>
                <w:lang w:eastAsia="en-US"/>
              </w:rPr>
              <w:t>Врачи-психиатры, иные специалисты, медицинский и другой персонал, участвующие в оказании психиатрической помощи, имеют право на льготы, установленные законодательством Приднестровской Молдавской Республики для лиц, занятых деятельностью в особых условиях труда.</w:t>
            </w:r>
          </w:p>
          <w:p w:rsidR="00996A81" w:rsidRPr="00996A81" w:rsidRDefault="00996A81" w:rsidP="00996A81">
            <w:pPr>
              <w:ind w:left="0" w:firstLine="334"/>
              <w:rPr>
                <w:rFonts w:eastAsia="Calibri"/>
                <w:b/>
                <w:bCs/>
                <w:lang w:eastAsia="en-US"/>
              </w:rPr>
            </w:pPr>
            <w:r w:rsidRPr="00996A81">
              <w:rPr>
                <w:rFonts w:eastAsia="Calibri"/>
                <w:b/>
                <w:bCs/>
                <w:lang w:eastAsia="en-US"/>
              </w:rPr>
              <w:t>Врачи-психиатры, иные специалисты, медицинский и другой персонал, участвующие в оказании психиатрической помощи, подлежат 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w:t>
            </w:r>
            <w:r w:rsidRPr="00996A81">
              <w:rPr>
                <w:rFonts w:eastAsia="Calibri"/>
                <w:lang w:eastAsia="en-US"/>
              </w:rPr>
              <w:t xml:space="preserve"> </w:t>
            </w:r>
            <w:r w:rsidRPr="00996A81">
              <w:rPr>
                <w:rFonts w:eastAsia="Calibri"/>
                <w:b/>
                <w:bCs/>
                <w:lang w:eastAsia="en-US"/>
              </w:rPr>
              <w:t>Приднестровской Молдавской Республики.</w:t>
            </w:r>
          </w:p>
        </w:tc>
      </w:tr>
    </w:tbl>
    <w:p w:rsidR="00465FD2" w:rsidRPr="00A17291" w:rsidRDefault="00465FD2" w:rsidP="00A17291">
      <w:bookmarkStart w:id="0" w:name="_GoBack"/>
      <w:bookmarkEnd w:id="0"/>
    </w:p>
    <w:sectPr w:rsidR="00465FD2" w:rsidRPr="00A17291" w:rsidSect="00283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10443E"/>
    <w:rsid w:val="00147B5A"/>
    <w:rsid w:val="001764E8"/>
    <w:rsid w:val="00234162"/>
    <w:rsid w:val="00276593"/>
    <w:rsid w:val="00336B91"/>
    <w:rsid w:val="003C02A1"/>
    <w:rsid w:val="0040279E"/>
    <w:rsid w:val="00402C3C"/>
    <w:rsid w:val="004204C5"/>
    <w:rsid w:val="00465FD2"/>
    <w:rsid w:val="0049279D"/>
    <w:rsid w:val="004F2BFD"/>
    <w:rsid w:val="005669D6"/>
    <w:rsid w:val="005F0727"/>
    <w:rsid w:val="005F790B"/>
    <w:rsid w:val="0062219E"/>
    <w:rsid w:val="00666CFF"/>
    <w:rsid w:val="00677842"/>
    <w:rsid w:val="00694279"/>
    <w:rsid w:val="006D0F80"/>
    <w:rsid w:val="006E4576"/>
    <w:rsid w:val="006F2894"/>
    <w:rsid w:val="007140FC"/>
    <w:rsid w:val="00725829"/>
    <w:rsid w:val="0072713F"/>
    <w:rsid w:val="00736078"/>
    <w:rsid w:val="00745731"/>
    <w:rsid w:val="00770CB3"/>
    <w:rsid w:val="007C3B6C"/>
    <w:rsid w:val="00836AD0"/>
    <w:rsid w:val="00850477"/>
    <w:rsid w:val="00853717"/>
    <w:rsid w:val="008926AE"/>
    <w:rsid w:val="008B7DBE"/>
    <w:rsid w:val="008F70B4"/>
    <w:rsid w:val="0091069F"/>
    <w:rsid w:val="00922BB1"/>
    <w:rsid w:val="00945F4B"/>
    <w:rsid w:val="00947364"/>
    <w:rsid w:val="00996A81"/>
    <w:rsid w:val="009C0CBA"/>
    <w:rsid w:val="00A17291"/>
    <w:rsid w:val="00A32DA4"/>
    <w:rsid w:val="00A45323"/>
    <w:rsid w:val="00A500D1"/>
    <w:rsid w:val="00A92FB9"/>
    <w:rsid w:val="00B62C7E"/>
    <w:rsid w:val="00B90E5E"/>
    <w:rsid w:val="00BF25F5"/>
    <w:rsid w:val="00C30074"/>
    <w:rsid w:val="00C30585"/>
    <w:rsid w:val="00C54BC4"/>
    <w:rsid w:val="00CA0A80"/>
    <w:rsid w:val="00CA389A"/>
    <w:rsid w:val="00D45EF5"/>
    <w:rsid w:val="00DA4182"/>
    <w:rsid w:val="00DC2A0D"/>
    <w:rsid w:val="00E4664D"/>
    <w:rsid w:val="00E55D71"/>
    <w:rsid w:val="00E67E22"/>
    <w:rsid w:val="00F137A8"/>
    <w:rsid w:val="00F13D1A"/>
    <w:rsid w:val="00F6164F"/>
    <w:rsid w:val="00F90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75</cp:revision>
  <dcterms:created xsi:type="dcterms:W3CDTF">2026-03-30T13:53:00Z</dcterms:created>
  <dcterms:modified xsi:type="dcterms:W3CDTF">2026-05-11T11:44:00Z</dcterms:modified>
</cp:coreProperties>
</file>