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A76" w:rsidRPr="00EA2A76" w:rsidRDefault="00EA2A76" w:rsidP="00EA2A76">
      <w:pPr>
        <w:autoSpaceDE w:val="0"/>
        <w:autoSpaceDN w:val="0"/>
        <w:adjustRightInd w:val="0"/>
        <w:ind w:left="0" w:firstLine="567"/>
        <w:jc w:val="center"/>
        <w:rPr>
          <w:color w:val="000000"/>
        </w:rPr>
      </w:pPr>
      <w:r w:rsidRPr="00EA2A76">
        <w:rPr>
          <w:color w:val="000000"/>
        </w:rPr>
        <w:t xml:space="preserve">Сравнительная таблица </w:t>
      </w:r>
    </w:p>
    <w:p w:rsidR="00EA2A76" w:rsidRPr="00EA2A76" w:rsidRDefault="00EA2A76" w:rsidP="00EA2A76">
      <w:pPr>
        <w:autoSpaceDE w:val="0"/>
        <w:autoSpaceDN w:val="0"/>
        <w:adjustRightInd w:val="0"/>
        <w:ind w:left="0" w:firstLine="567"/>
        <w:jc w:val="center"/>
        <w:rPr>
          <w:color w:val="000000"/>
        </w:rPr>
      </w:pPr>
      <w:r w:rsidRPr="00EA2A76">
        <w:rPr>
          <w:color w:val="000000"/>
        </w:rPr>
        <w:t xml:space="preserve">к проекту закона Приднестровской Молдавской Республики    </w:t>
      </w:r>
    </w:p>
    <w:p w:rsidR="00EA2A76" w:rsidRPr="00EA2A76" w:rsidRDefault="00EA2A76" w:rsidP="00EA2A76">
      <w:pPr>
        <w:autoSpaceDE w:val="0"/>
        <w:autoSpaceDN w:val="0"/>
        <w:adjustRightInd w:val="0"/>
        <w:ind w:left="0" w:firstLine="567"/>
        <w:jc w:val="center"/>
        <w:rPr>
          <w:color w:val="000000"/>
        </w:rPr>
      </w:pPr>
      <w:r w:rsidRPr="00EA2A76">
        <w:rPr>
          <w:color w:val="000000"/>
        </w:rPr>
        <w:t>«О внесении дополнений в Кодекс Приднестровской Молдавской Республики об административных правонарушениях»</w:t>
      </w:r>
    </w:p>
    <w:p w:rsidR="00EA2A76" w:rsidRPr="00EA2A76" w:rsidRDefault="00EA2A76" w:rsidP="00EA2A76">
      <w:pPr>
        <w:autoSpaceDE w:val="0"/>
        <w:autoSpaceDN w:val="0"/>
        <w:adjustRightInd w:val="0"/>
        <w:ind w:left="0" w:firstLine="567"/>
        <w:rPr>
          <w:b/>
          <w:color w:val="000000"/>
        </w:rPr>
      </w:pPr>
    </w:p>
    <w:tbl>
      <w:tblPr>
        <w:tblW w:w="98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25"/>
      </w:tblGrid>
      <w:tr w:rsidR="00EA2A76" w:rsidRPr="00EA2A76" w:rsidTr="00595B0E">
        <w:trPr>
          <w:trHeight w:val="72"/>
        </w:trPr>
        <w:tc>
          <w:tcPr>
            <w:tcW w:w="4962" w:type="dxa"/>
          </w:tcPr>
          <w:p w:rsidR="00EA2A76" w:rsidRPr="00EA2A76" w:rsidRDefault="00EA2A76" w:rsidP="00EA2A76">
            <w:pPr>
              <w:ind w:left="0" w:firstLine="540"/>
              <w:jc w:val="center"/>
              <w:rPr>
                <w:b/>
              </w:rPr>
            </w:pPr>
            <w:r w:rsidRPr="00EA2A76">
              <w:rPr>
                <w:b/>
              </w:rPr>
              <w:t>Действующая редакция</w:t>
            </w:r>
          </w:p>
        </w:tc>
        <w:tc>
          <w:tcPr>
            <w:tcW w:w="4925" w:type="dxa"/>
          </w:tcPr>
          <w:p w:rsidR="00EA2A76" w:rsidRPr="00EA2A76" w:rsidRDefault="00EA2A76" w:rsidP="00EA2A76">
            <w:pPr>
              <w:ind w:left="0"/>
              <w:jc w:val="center"/>
              <w:rPr>
                <w:b/>
              </w:rPr>
            </w:pPr>
            <w:r w:rsidRPr="00EA2A76">
              <w:rPr>
                <w:b/>
              </w:rPr>
              <w:t>Предлагаемая редакция</w:t>
            </w:r>
          </w:p>
        </w:tc>
      </w:tr>
      <w:tr w:rsidR="00EA2A76" w:rsidRPr="00EA2A76" w:rsidTr="00595B0E">
        <w:trPr>
          <w:trHeight w:val="3641"/>
        </w:trPr>
        <w:tc>
          <w:tcPr>
            <w:tcW w:w="4962" w:type="dxa"/>
          </w:tcPr>
          <w:p w:rsidR="00EA2A76" w:rsidRPr="00EA2A76" w:rsidRDefault="00EA2A76" w:rsidP="00EA2A76">
            <w:pPr>
              <w:ind w:left="0" w:firstLine="709"/>
              <w:rPr>
                <w:rFonts w:eastAsia="Calibri"/>
                <w:b/>
              </w:rPr>
            </w:pPr>
            <w:r w:rsidRPr="00EA2A76">
              <w:rPr>
                <w:rFonts w:eastAsia="Calibri"/>
                <w:b/>
              </w:rPr>
              <w:t xml:space="preserve">             Отсутствует</w:t>
            </w:r>
          </w:p>
          <w:p w:rsidR="00EA2A76" w:rsidRPr="00EA2A76" w:rsidRDefault="00EA2A76" w:rsidP="00EA2A76">
            <w:pPr>
              <w:ind w:left="0" w:firstLine="709"/>
              <w:rPr>
                <w:rFonts w:eastAsia="Calibri"/>
              </w:rPr>
            </w:pPr>
          </w:p>
          <w:p w:rsidR="00EA2A76" w:rsidRPr="00EA2A76" w:rsidRDefault="00EA2A76" w:rsidP="00EA2A76">
            <w:pPr>
              <w:ind w:left="0" w:firstLine="709"/>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ind w:left="0" w:firstLine="709"/>
              <w:jc w:val="left"/>
            </w:pP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ind w:left="0" w:firstLine="709"/>
              <w:rPr>
                <w:b/>
                <w:bCs/>
              </w:rPr>
            </w:pPr>
          </w:p>
          <w:p w:rsidR="00EA2A76" w:rsidRPr="00EA2A76" w:rsidRDefault="00EA2A76" w:rsidP="00EA2A76">
            <w:pPr>
              <w:ind w:left="0" w:firstLine="709"/>
              <w:rPr>
                <w:b/>
                <w:bCs/>
              </w:rPr>
            </w:pPr>
          </w:p>
          <w:p w:rsidR="00EA2A76" w:rsidRPr="00EA2A76" w:rsidRDefault="00EA2A76" w:rsidP="00EA2A76">
            <w:pPr>
              <w:ind w:left="0" w:firstLine="709"/>
              <w:rPr>
                <w:b/>
                <w:bCs/>
              </w:rPr>
            </w:pPr>
          </w:p>
          <w:p w:rsidR="00EA2A76" w:rsidRPr="00EA2A76" w:rsidRDefault="00EA2A76" w:rsidP="00EA2A76">
            <w:pPr>
              <w:ind w:left="0" w:firstLine="709"/>
              <w:rPr>
                <w:rFonts w:eastAsia="Calibri"/>
                <w:b/>
                <w:bCs/>
                <w:lang w:eastAsia="en-US"/>
              </w:rPr>
            </w:pPr>
            <w:r w:rsidRPr="00EA2A76">
              <w:rPr>
                <w:b/>
                <w:bCs/>
              </w:rPr>
              <w:t>Статья 23.17. О</w:t>
            </w:r>
            <w:r w:rsidRPr="00EA2A76">
              <w:rPr>
                <w:rFonts w:eastAsia="Calibri"/>
                <w:b/>
                <w:bCs/>
                <w:lang w:eastAsia="en-US"/>
              </w:rPr>
              <w:t>рганы, осуществляющие лесной контроль (надзор)</w:t>
            </w:r>
          </w:p>
          <w:p w:rsidR="00EA2A76" w:rsidRPr="00EA2A76" w:rsidRDefault="00EA2A76" w:rsidP="00EA2A76">
            <w:pPr>
              <w:ind w:left="0" w:firstLine="709"/>
              <w:rPr>
                <w:rFonts w:eastAsia="Calibri"/>
                <w:color w:val="000000"/>
                <w:lang w:eastAsia="en-US"/>
              </w:rPr>
            </w:pPr>
            <w:bookmarkStart w:id="0" w:name="_GoBack"/>
            <w:bookmarkEnd w:id="0"/>
          </w:p>
          <w:p w:rsidR="00EA2A76" w:rsidRPr="00EA2A76" w:rsidRDefault="00EA2A76" w:rsidP="00EA2A76">
            <w:pPr>
              <w:ind w:left="0" w:firstLine="709"/>
              <w:rPr>
                <w:color w:val="000000"/>
              </w:rPr>
            </w:pPr>
            <w:r w:rsidRPr="00EA2A76">
              <w:rPr>
                <w:rFonts w:eastAsia="Calibri"/>
                <w:color w:val="000000"/>
                <w:lang w:eastAsia="en-US"/>
              </w:rPr>
              <w:t xml:space="preserve">Органы, уполномоченные в области использования, охраны и защиты лесного фонда, рассматривают дела об административных правонарушениях, предусмотренных пунктом 2 статьи 7.2, статьями 7.7 (об административных правонарушениях, совершенных на землях лесного фонда и лесов, не входящих в лесной фонд), 7.8, 7.9 (в части самовольной переуступки права пользования участками лесного фонда и лесов, не входящих в лесной фонд), 7.10 (об административных правонарушениях, совершенных на землях лесного фонда и лесов, не входящих в лесной фонд), 8.5 (в части сокрытия или искажения информации о состоянии лесов, земель лесного фонда и лесов, не входящих в лесной </w:t>
            </w:r>
            <w:r w:rsidRPr="00EA2A76">
              <w:rPr>
                <w:rFonts w:eastAsia="Calibri"/>
                <w:color w:val="000000"/>
                <w:lang w:eastAsia="en-US"/>
              </w:rPr>
              <w:lastRenderedPageBreak/>
              <w:t>фонд, а также о состоянии находящихся на них водных объектов, объектов животного мира и среды их обитания), 8.12, 8.21–8.24, пунктом 1 статьи 8.25, статьями 8.27–8.29 настоящего Кодекса.</w:t>
            </w:r>
          </w:p>
          <w:p w:rsidR="00EA2A76" w:rsidRPr="00EA2A76" w:rsidRDefault="00EA2A76" w:rsidP="00EA2A76">
            <w:pPr>
              <w:ind w:left="0" w:firstLine="709"/>
              <w:rPr>
                <w:b/>
                <w:bCs/>
                <w:color w:val="000000"/>
              </w:rPr>
            </w:pPr>
          </w:p>
          <w:p w:rsidR="00EA2A76" w:rsidRPr="00EA2A76" w:rsidRDefault="00EA2A76" w:rsidP="00EA2A76">
            <w:pPr>
              <w:ind w:left="0"/>
              <w:rPr>
                <w:b/>
                <w:bCs/>
                <w:color w:val="000000"/>
              </w:rPr>
            </w:pPr>
          </w:p>
          <w:p w:rsidR="00EA2A76" w:rsidRPr="00EA2A76" w:rsidRDefault="00EA2A76" w:rsidP="00EA2A76">
            <w:pPr>
              <w:ind w:left="0" w:firstLine="709"/>
              <w:rPr>
                <w:b/>
                <w:bCs/>
                <w:color w:val="000000"/>
              </w:rPr>
            </w:pPr>
            <w:r w:rsidRPr="00EA2A76">
              <w:rPr>
                <w:b/>
                <w:bCs/>
                <w:color w:val="000000"/>
              </w:rPr>
              <w:t>Статья 29.4.</w:t>
            </w:r>
            <w:r w:rsidRPr="00EA2A76">
              <w:rPr>
                <w:color w:val="000000"/>
              </w:rPr>
              <w:t xml:space="preserve"> </w:t>
            </w:r>
            <w:r w:rsidRPr="00EA2A76">
              <w:rPr>
                <w:b/>
                <w:bCs/>
                <w:color w:val="000000"/>
              </w:rPr>
              <w:t>Должностные лица, уполномоченные составлять протоколы об административных правонарушениях</w:t>
            </w:r>
          </w:p>
          <w:p w:rsidR="00EA2A76" w:rsidRPr="00EA2A76" w:rsidRDefault="00EA2A76" w:rsidP="00EA2A76">
            <w:pPr>
              <w:ind w:left="0" w:firstLine="709"/>
              <w:rPr>
                <w:color w:val="000000"/>
              </w:rPr>
            </w:pPr>
          </w:p>
          <w:p w:rsidR="00EA2A76" w:rsidRPr="00EA2A76" w:rsidRDefault="00EA2A76" w:rsidP="00EA2A76">
            <w:pPr>
              <w:ind w:left="0"/>
              <w:rPr>
                <w:color w:val="000000"/>
              </w:rPr>
            </w:pPr>
            <w:r w:rsidRPr="00EA2A76">
              <w:rPr>
                <w:color w:val="000000"/>
              </w:rPr>
              <w:t>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w:t>
            </w:r>
          </w:p>
          <w:p w:rsidR="00EA2A76" w:rsidRPr="00EA2A76" w:rsidRDefault="00EA2A76" w:rsidP="00EA2A76">
            <w:pPr>
              <w:ind w:left="0"/>
              <w:rPr>
                <w:color w:val="000000"/>
              </w:rPr>
            </w:pPr>
            <w:r w:rsidRPr="00EA2A76">
              <w:rPr>
                <w:color w:val="000000"/>
              </w:rPr>
              <w:t xml:space="preserve">       </w:t>
            </w:r>
          </w:p>
          <w:p w:rsidR="00EA2A76" w:rsidRPr="00EA2A76" w:rsidRDefault="00EA2A76" w:rsidP="00EA2A76">
            <w:pPr>
              <w:ind w:left="0"/>
              <w:rPr>
                <w:color w:val="000000"/>
              </w:rPr>
            </w:pPr>
          </w:p>
          <w:p w:rsidR="00EA2A76" w:rsidRPr="00EA2A76" w:rsidRDefault="00EA2A76" w:rsidP="00EA2A76">
            <w:pPr>
              <w:ind w:left="0"/>
              <w:rPr>
                <w:color w:val="000000"/>
              </w:rPr>
            </w:pPr>
            <w:r w:rsidRPr="00EA2A76">
              <w:rPr>
                <w:color w:val="000000"/>
              </w:rPr>
              <w:t xml:space="preserve">        а) ……</w:t>
            </w:r>
            <w:proofErr w:type="gramStart"/>
            <w:r w:rsidRPr="00EA2A76">
              <w:rPr>
                <w:color w:val="000000"/>
              </w:rPr>
              <w:t>…….</w:t>
            </w:r>
            <w:proofErr w:type="gramEnd"/>
            <w:r w:rsidRPr="00EA2A76">
              <w:rPr>
                <w:color w:val="000000"/>
              </w:rPr>
              <w:t>.</w:t>
            </w:r>
          </w:p>
          <w:p w:rsidR="00EA2A76" w:rsidRPr="00EA2A76" w:rsidRDefault="00EA2A76" w:rsidP="00EA2A76">
            <w:pPr>
              <w:ind w:left="0"/>
              <w:rPr>
                <w:color w:val="000000"/>
              </w:rPr>
            </w:pPr>
            <w:r w:rsidRPr="00EA2A76">
              <w:rPr>
                <w:color w:val="000000"/>
              </w:rPr>
              <w:t xml:space="preserve">      </w:t>
            </w:r>
          </w:p>
          <w:p w:rsidR="00EA2A76" w:rsidRPr="00EA2A76" w:rsidRDefault="00EA2A76" w:rsidP="00EA2A76">
            <w:pPr>
              <w:ind w:left="0" w:firstLine="459"/>
              <w:rPr>
                <w:color w:val="000000"/>
              </w:rPr>
            </w:pPr>
            <w:r w:rsidRPr="00EA2A76">
              <w:rPr>
                <w:color w:val="000000"/>
              </w:rPr>
              <w:t xml:space="preserve">ч) </w:t>
            </w:r>
            <w:r w:rsidRPr="00EA2A76">
              <w:rPr>
                <w:rFonts w:eastAsia="Calibri"/>
                <w:color w:val="000000"/>
                <w:lang w:eastAsia="en-US"/>
              </w:rPr>
              <w:t xml:space="preserve">должностные лица органов, осуществляющих государственный лесной контроль (надзор), – об административных правонарушениях, предусмотренных статьей 7.1 (в части участков земель лесного фонда и земель лесов, не входящих в лесной фонд), пунктом 2 статьи 7.2 (в части уничтожения или повреждения знаков особо охраняемых природных территорий, лесоустроительных и лесохозяйственных знаков в лесном фонде и в лесах, не входящих в лесной фонд, a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статьями 7.7 (об административных правонарушениях, совершенных на землях лесного фонда и лесов, не входящих в лесной фонд), 7.8, 7.9 (в части самовольной </w:t>
            </w:r>
            <w:r w:rsidRPr="00EA2A76">
              <w:rPr>
                <w:rFonts w:eastAsia="Calibri"/>
                <w:color w:val="000000"/>
                <w:lang w:eastAsia="en-US"/>
              </w:rPr>
              <w:lastRenderedPageBreak/>
              <w:t>переуступки права пользования участками лесного фонда и лесов, не входящих в лесной фонд), 7.10 (об административных правонарушениях, совершенных на землях лесного фонда и лесов, не входящих в лесной фонд), 8.5 (в части сокрытия или искажения информации о состоянии лесов, земель лесного фонда и лесов, не входящих в лесной фонд, а также о состоянии находящихся на них водных объектов, объектов животного мира и среды их обитания), 8.7, 8.12, 8.21–8.24, пунктами 1 и 3 статьи 8.25, статьями 8.27–8.29 настоящего Кодекса;</w:t>
            </w:r>
          </w:p>
          <w:p w:rsidR="00EA2A76" w:rsidRPr="00EA2A76" w:rsidRDefault="00EA2A76" w:rsidP="00EA2A76">
            <w:pPr>
              <w:ind w:left="0"/>
              <w:rPr>
                <w:color w:val="000000"/>
              </w:rPr>
            </w:pPr>
          </w:p>
          <w:p w:rsidR="00EA2A76" w:rsidRPr="00EA2A76" w:rsidRDefault="00EA2A76" w:rsidP="00EA2A76">
            <w:pPr>
              <w:ind w:left="0" w:firstLine="459"/>
              <w:rPr>
                <w:rFonts w:ascii="Arial Narrow" w:hAnsi="Arial Narrow" w:cs="Arial Narrow"/>
                <w:color w:val="000000"/>
              </w:rPr>
            </w:pPr>
          </w:p>
        </w:tc>
        <w:tc>
          <w:tcPr>
            <w:tcW w:w="4925" w:type="dxa"/>
          </w:tcPr>
          <w:p w:rsidR="00EA2A76" w:rsidRPr="00EA2A76" w:rsidRDefault="00EA2A76" w:rsidP="00EA2A76">
            <w:pPr>
              <w:ind w:left="0" w:firstLine="708"/>
              <w:rPr>
                <w:b/>
                <w:color w:val="000000"/>
              </w:rPr>
            </w:pPr>
            <w:r w:rsidRPr="00EA2A76">
              <w:rPr>
                <w:b/>
                <w:color w:val="000000"/>
              </w:rPr>
              <w:lastRenderedPageBreak/>
              <w:t xml:space="preserve">Статья 8.25.1. Ответственность за несоблюдение обязательных требования по </w:t>
            </w:r>
            <w:r w:rsidRPr="00EA2A76">
              <w:rPr>
                <w:b/>
              </w:rPr>
              <w:t>проведению компенсационного озеленения</w:t>
            </w:r>
          </w:p>
          <w:p w:rsidR="00EA2A76" w:rsidRPr="00EA2A76" w:rsidRDefault="00EA2A76" w:rsidP="00EA2A76">
            <w:pPr>
              <w:ind w:left="0" w:firstLine="708"/>
              <w:rPr>
                <w:b/>
                <w:color w:val="000000"/>
              </w:rPr>
            </w:pPr>
          </w:p>
          <w:p w:rsidR="00EA2A76" w:rsidRPr="00EA2A76" w:rsidRDefault="00EA2A76" w:rsidP="00EA2A76">
            <w:pPr>
              <w:ind w:left="0"/>
              <w:rPr>
                <w:b/>
                <w:color w:val="000000"/>
              </w:rPr>
            </w:pPr>
            <w:r w:rsidRPr="00EA2A76">
              <w:rPr>
                <w:bCs/>
                <w:color w:val="000000"/>
              </w:rPr>
              <w:t xml:space="preserve">        </w:t>
            </w:r>
            <w:r w:rsidRPr="00EA2A76">
              <w:rPr>
                <w:b/>
                <w:color w:val="000000"/>
              </w:rPr>
              <w:t xml:space="preserve">Несоблюдение обязательных требований по </w:t>
            </w:r>
            <w:r w:rsidRPr="00EA2A76">
              <w:rPr>
                <w:b/>
              </w:rPr>
              <w:t>проведению компенсационного озеленения на землях Государственного лесного фонда Приднестровской Молдавской Республики, в защитных лесных насаждениях на землях сельскохозяйственного назначения, озеленительных насаждений и групп деревьев в населенных пунктах, парках, скверах, дендрариях, ботанических садах, рощах, бульварах влечет</w:t>
            </w:r>
            <w:r w:rsidRPr="00EA2A76">
              <w:t xml:space="preserve"> </w:t>
            </w:r>
            <w:r w:rsidRPr="00EA2A76">
              <w:rPr>
                <w:b/>
                <w:bCs/>
              </w:rPr>
              <w:t xml:space="preserve">наложение административного штрафа на граждан в размере от 50 (пятидесяти) РУ МЗП до 100 (ста) РУ МЗП, на индивидуальных предпринимателей – от 200 (двухсот) до 400 (четырехсот) РУ МЗП, на юридических лиц – от на юридических лиц – от 600 (шестисот) до 1000 (одной тысячи) РУ МЗП. </w:t>
            </w:r>
          </w:p>
          <w:p w:rsidR="00EA2A76" w:rsidRPr="00EA2A76" w:rsidRDefault="00EA2A76" w:rsidP="00EA2A76">
            <w:pPr>
              <w:autoSpaceDE w:val="0"/>
              <w:autoSpaceDN w:val="0"/>
              <w:adjustRightInd w:val="0"/>
              <w:ind w:left="0"/>
              <w:rPr>
                <w:b/>
                <w:bCs/>
                <w:color w:val="000000"/>
              </w:rPr>
            </w:pPr>
          </w:p>
          <w:p w:rsidR="00EA2A76" w:rsidRPr="00EA2A76" w:rsidRDefault="00EA2A76" w:rsidP="00EA2A76">
            <w:pPr>
              <w:autoSpaceDE w:val="0"/>
              <w:autoSpaceDN w:val="0"/>
              <w:adjustRightInd w:val="0"/>
              <w:ind w:left="0" w:firstLine="709"/>
              <w:rPr>
                <w:rFonts w:eastAsia="Calibri"/>
                <w:b/>
                <w:bCs/>
                <w:color w:val="000000"/>
                <w:lang w:eastAsia="en-US"/>
              </w:rPr>
            </w:pPr>
            <w:r w:rsidRPr="00EA2A76">
              <w:rPr>
                <w:b/>
                <w:bCs/>
                <w:color w:val="000000"/>
              </w:rPr>
              <w:t>Статья 23.17.</w:t>
            </w:r>
            <w:r w:rsidRPr="00EA2A76">
              <w:rPr>
                <w:color w:val="000000"/>
              </w:rPr>
              <w:t xml:space="preserve"> </w:t>
            </w:r>
            <w:r w:rsidRPr="00EA2A76">
              <w:rPr>
                <w:b/>
                <w:bCs/>
                <w:color w:val="000000"/>
              </w:rPr>
              <w:t>О</w:t>
            </w:r>
            <w:r w:rsidRPr="00EA2A76">
              <w:rPr>
                <w:rFonts w:eastAsia="Calibri"/>
                <w:b/>
                <w:bCs/>
                <w:color w:val="000000"/>
                <w:lang w:eastAsia="en-US"/>
              </w:rPr>
              <w:t>рганы, осуществляющие лесной контроль (надзор)</w:t>
            </w:r>
          </w:p>
          <w:p w:rsidR="00EA2A76" w:rsidRPr="00EA2A76" w:rsidRDefault="00EA2A76" w:rsidP="00EA2A76">
            <w:pPr>
              <w:autoSpaceDE w:val="0"/>
              <w:autoSpaceDN w:val="0"/>
              <w:adjustRightInd w:val="0"/>
              <w:ind w:left="0" w:firstLine="709"/>
              <w:rPr>
                <w:rFonts w:eastAsia="Calibri"/>
                <w:b/>
                <w:bCs/>
                <w:color w:val="000000"/>
                <w:lang w:eastAsia="en-US"/>
              </w:rPr>
            </w:pPr>
          </w:p>
          <w:p w:rsidR="00EA2A76" w:rsidRPr="00EA2A76" w:rsidRDefault="00EA2A76" w:rsidP="00EA2A76">
            <w:pPr>
              <w:autoSpaceDE w:val="0"/>
              <w:autoSpaceDN w:val="0"/>
              <w:adjustRightInd w:val="0"/>
              <w:ind w:left="0" w:firstLine="709"/>
              <w:rPr>
                <w:b/>
                <w:bCs/>
                <w:color w:val="000000"/>
              </w:rPr>
            </w:pPr>
            <w:r w:rsidRPr="00EA2A76">
              <w:rPr>
                <w:rFonts w:eastAsia="Calibri"/>
                <w:color w:val="000000"/>
                <w:lang w:eastAsia="en-US"/>
              </w:rPr>
              <w:t xml:space="preserve">Органы, уполномоченные в области использования, охраны и защиты лесного фонда, рассматривают дела об административных правонарушениях, предусмотренных пунктом 2 статьи 7.2, статьями 7.7 (об административных правонарушениях, совершенных на землях лесного фонда и лесов, не входящих в лесной фонд), 7.8, 7.9 (в части самовольной переуступки права пользования участками лесного фонда и лесов, не входящих в лесной фонд), 7.10 (об административных правонарушениях, совершенных на землях лесного фонда и лесов, не входящих в лесной фонд), 8.5 (в части сокрытия или искажения информации о состоянии лесов, земель лесного фонда и лесов, не входящих в лесной фонд, а также о состоянии находящихся на них водных объектов, объектов животного </w:t>
            </w:r>
            <w:r w:rsidRPr="00EA2A76">
              <w:rPr>
                <w:rFonts w:eastAsia="Calibri"/>
                <w:color w:val="000000"/>
                <w:lang w:eastAsia="en-US"/>
              </w:rPr>
              <w:lastRenderedPageBreak/>
              <w:t xml:space="preserve">мира и среды их обитания), 8.12, 8.21–8.24, пунктом 1 статьи 8.25, </w:t>
            </w:r>
            <w:r w:rsidRPr="00EA2A76">
              <w:rPr>
                <w:rFonts w:eastAsia="Calibri"/>
                <w:b/>
                <w:color w:val="000000"/>
                <w:lang w:eastAsia="en-US"/>
              </w:rPr>
              <w:t xml:space="preserve">статьей </w:t>
            </w:r>
            <w:r w:rsidRPr="00EA2A76">
              <w:rPr>
                <w:rFonts w:eastAsia="Calibri"/>
                <w:b/>
                <w:bCs/>
                <w:color w:val="000000"/>
                <w:lang w:eastAsia="en-US"/>
              </w:rPr>
              <w:t>8.25.1</w:t>
            </w:r>
            <w:r w:rsidRPr="00EA2A76">
              <w:rPr>
                <w:rFonts w:eastAsia="Calibri"/>
                <w:color w:val="000000"/>
                <w:lang w:eastAsia="en-US"/>
              </w:rPr>
              <w:t>, статьями 8.27–8.29 настоящего Кодекса.</w:t>
            </w:r>
          </w:p>
          <w:p w:rsidR="00EA2A76" w:rsidRPr="00EA2A76" w:rsidRDefault="00EA2A76" w:rsidP="00EA2A76">
            <w:pPr>
              <w:autoSpaceDE w:val="0"/>
              <w:autoSpaceDN w:val="0"/>
              <w:adjustRightInd w:val="0"/>
              <w:ind w:left="0" w:firstLine="709"/>
              <w:rPr>
                <w:b/>
                <w:bCs/>
                <w:color w:val="000000"/>
              </w:rPr>
            </w:pPr>
          </w:p>
          <w:p w:rsidR="00EA2A76" w:rsidRPr="00EA2A76" w:rsidRDefault="00EA2A76" w:rsidP="00EA2A76">
            <w:pPr>
              <w:ind w:left="0" w:firstLine="709"/>
              <w:rPr>
                <w:rFonts w:eastAsia="Calibri"/>
                <w:color w:val="000000"/>
                <w:lang w:eastAsia="en-US"/>
              </w:rPr>
            </w:pPr>
          </w:p>
          <w:p w:rsidR="00EA2A76" w:rsidRPr="00EA2A76" w:rsidRDefault="00EA2A76" w:rsidP="00EA2A76">
            <w:pPr>
              <w:ind w:left="0"/>
              <w:rPr>
                <w:b/>
                <w:bCs/>
                <w:color w:val="000000"/>
              </w:rPr>
            </w:pPr>
            <w:r w:rsidRPr="00EA2A76">
              <w:rPr>
                <w:b/>
                <w:bCs/>
                <w:color w:val="000000"/>
              </w:rPr>
              <w:t xml:space="preserve">     Статья 29.4.</w:t>
            </w:r>
            <w:r w:rsidRPr="00EA2A76">
              <w:rPr>
                <w:color w:val="000000"/>
              </w:rPr>
              <w:t xml:space="preserve"> </w:t>
            </w:r>
            <w:r w:rsidRPr="00EA2A76">
              <w:rPr>
                <w:b/>
                <w:bCs/>
                <w:color w:val="000000"/>
              </w:rPr>
              <w:t>Должностные лица, уполномоченные составлять протоколы об административных правонарушениях</w:t>
            </w:r>
          </w:p>
          <w:p w:rsidR="00EA2A76" w:rsidRPr="00EA2A76" w:rsidRDefault="00EA2A76" w:rsidP="00EA2A76">
            <w:pPr>
              <w:ind w:left="0"/>
              <w:rPr>
                <w:color w:val="000000"/>
              </w:rPr>
            </w:pPr>
          </w:p>
          <w:p w:rsidR="00EA2A76" w:rsidRPr="00EA2A76" w:rsidRDefault="00EA2A76" w:rsidP="00EA2A76">
            <w:pPr>
              <w:ind w:left="0"/>
              <w:rPr>
                <w:color w:val="000000"/>
              </w:rPr>
            </w:pPr>
            <w:r w:rsidRPr="00EA2A76">
              <w:rPr>
                <w:color w:val="000000"/>
              </w:rPr>
              <w:t xml:space="preserve"> 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w:t>
            </w:r>
          </w:p>
          <w:p w:rsidR="00EA2A76" w:rsidRPr="00EA2A76" w:rsidRDefault="00EA2A76" w:rsidP="00EA2A76">
            <w:pPr>
              <w:ind w:left="0"/>
              <w:rPr>
                <w:color w:val="000000"/>
              </w:rPr>
            </w:pPr>
          </w:p>
          <w:p w:rsidR="00EA2A76" w:rsidRPr="00EA2A76" w:rsidRDefault="00EA2A76" w:rsidP="00EA2A76">
            <w:pPr>
              <w:ind w:left="0"/>
              <w:rPr>
                <w:color w:val="000000"/>
              </w:rPr>
            </w:pPr>
            <w:r w:rsidRPr="00EA2A76">
              <w:rPr>
                <w:color w:val="000000"/>
              </w:rPr>
              <w:t>а)</w:t>
            </w:r>
            <w:r w:rsidRPr="00EA2A76">
              <w:rPr>
                <w:rFonts w:eastAsia="Calibri"/>
                <w:color w:val="000000"/>
                <w:lang w:eastAsia="en-US"/>
              </w:rPr>
              <w:t xml:space="preserve"> ……</w:t>
            </w:r>
            <w:proofErr w:type="gramStart"/>
            <w:r w:rsidRPr="00EA2A76">
              <w:rPr>
                <w:rFonts w:eastAsia="Calibri"/>
                <w:color w:val="000000"/>
                <w:lang w:eastAsia="en-US"/>
              </w:rPr>
              <w:t>…….</w:t>
            </w:r>
            <w:proofErr w:type="gramEnd"/>
            <w:r w:rsidRPr="00EA2A76">
              <w:rPr>
                <w:rFonts w:eastAsia="Calibri"/>
                <w:color w:val="000000"/>
                <w:lang w:eastAsia="en-US"/>
              </w:rPr>
              <w:t>.</w:t>
            </w:r>
          </w:p>
          <w:p w:rsidR="00EA2A76" w:rsidRPr="00EA2A76" w:rsidRDefault="00EA2A76" w:rsidP="00EA2A76">
            <w:pPr>
              <w:ind w:left="0" w:firstLine="459"/>
              <w:rPr>
                <w:color w:val="000000"/>
              </w:rPr>
            </w:pPr>
          </w:p>
          <w:p w:rsidR="00EA2A76" w:rsidRPr="00EA2A76" w:rsidRDefault="00EA2A76" w:rsidP="00EA2A76">
            <w:pPr>
              <w:ind w:left="0"/>
              <w:rPr>
                <w:color w:val="000000"/>
              </w:rPr>
            </w:pPr>
            <w:r w:rsidRPr="00EA2A76">
              <w:rPr>
                <w:color w:val="000000"/>
              </w:rPr>
              <w:t xml:space="preserve">ч) </w:t>
            </w:r>
            <w:r w:rsidRPr="00EA2A76">
              <w:rPr>
                <w:rFonts w:eastAsia="Calibri"/>
                <w:color w:val="000000"/>
                <w:lang w:eastAsia="en-US"/>
              </w:rPr>
              <w:t xml:space="preserve">должностные лица органов, осуществляющих государственный лесной контроль (надзор), – об административных правонарушениях, предусмотренных статьей 7.1 (в части участков земель лесного фонда и земель лесов, не входящих в лесной фонд), пунктом 2 статьи 7.2 (в части уничтожения или повреждения знаков особо охраняемых природных территорий, лесоустроительных и лесохозяйственных знаков в лесном фонде и в лесах, не входящих в лесной фонд, a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статьями 7.7 (об административных правонарушениях, совершенных на землях лесного фонда и лесов, не входящих в лесной фонд), 7.8, 7.9 (в части самовольной переуступки права пользования участками лесного фонда и лесов, не входящих в лесной </w:t>
            </w:r>
            <w:r w:rsidRPr="00EA2A76">
              <w:rPr>
                <w:rFonts w:eastAsia="Calibri"/>
                <w:color w:val="000000"/>
                <w:lang w:eastAsia="en-US"/>
              </w:rPr>
              <w:lastRenderedPageBreak/>
              <w:t>фонд), 7.10 (об административных правонарушениях, совершенных на землях лесного фонда и лесов, не входящих в лесной фонд), 8.5 (в части сокрытия или искажения информации о состоянии лесов, земель лесного фонда и лесов, не входящих в лесной фонд, а также о состоянии находящихся на них водных объектов, объектов животного мира и среды их обитания), 8.7, 8.12, 8.21–8.24, пунктами 1 и 3 статьи 8.25</w:t>
            </w:r>
            <w:r w:rsidRPr="00EA2A76">
              <w:rPr>
                <w:rFonts w:eastAsia="Calibri"/>
                <w:b/>
                <w:bCs/>
                <w:color w:val="000000"/>
                <w:lang w:eastAsia="en-US"/>
              </w:rPr>
              <w:t>,</w:t>
            </w:r>
            <w:r w:rsidRPr="00EA2A76">
              <w:rPr>
                <w:rFonts w:eastAsia="Calibri"/>
                <w:color w:val="000000"/>
                <w:lang w:eastAsia="en-US"/>
              </w:rPr>
              <w:t xml:space="preserve"> </w:t>
            </w:r>
            <w:r w:rsidRPr="00EA2A76">
              <w:rPr>
                <w:rFonts w:eastAsia="Calibri"/>
                <w:b/>
                <w:bCs/>
                <w:color w:val="000000"/>
                <w:lang w:eastAsia="en-US"/>
              </w:rPr>
              <w:t>статьей 8.25.1,</w:t>
            </w:r>
            <w:r w:rsidRPr="00EA2A76">
              <w:rPr>
                <w:rFonts w:eastAsia="Calibri"/>
                <w:color w:val="000000"/>
                <w:lang w:eastAsia="en-US"/>
              </w:rPr>
              <w:t xml:space="preserve"> статьями 8.27–8.29 настоящего Кодекса;</w:t>
            </w:r>
          </w:p>
          <w:p w:rsidR="00EA2A76" w:rsidRPr="00EA2A76" w:rsidRDefault="00EA2A76" w:rsidP="00EA2A76">
            <w:pPr>
              <w:ind w:left="0"/>
              <w:rPr>
                <w:color w:val="000000"/>
              </w:rPr>
            </w:pPr>
          </w:p>
          <w:p w:rsidR="00EA2A76" w:rsidRPr="00EA2A76" w:rsidRDefault="00EA2A76" w:rsidP="00EA2A76">
            <w:pPr>
              <w:ind w:left="0"/>
              <w:outlineLvl w:val="0"/>
              <w:rPr>
                <w:rFonts w:eastAsia="Calibri"/>
                <w:b/>
              </w:rPr>
            </w:pPr>
          </w:p>
          <w:p w:rsidR="00EA2A76" w:rsidRPr="00EA2A76" w:rsidRDefault="00EA2A76" w:rsidP="00EA2A76">
            <w:pPr>
              <w:ind w:left="0"/>
              <w:outlineLvl w:val="0"/>
              <w:rPr>
                <w:rFonts w:eastAsia="Calibri"/>
                <w:b/>
              </w:rPr>
            </w:pPr>
          </w:p>
          <w:p w:rsidR="00EA2A76" w:rsidRPr="00EA2A76" w:rsidRDefault="00EA2A76" w:rsidP="00EA2A76">
            <w:pPr>
              <w:ind w:left="0"/>
              <w:outlineLvl w:val="0"/>
              <w:rPr>
                <w:rFonts w:eastAsia="Calibri"/>
                <w:b/>
              </w:rPr>
            </w:pPr>
          </w:p>
          <w:p w:rsidR="00EA2A76" w:rsidRPr="00EA2A76" w:rsidRDefault="00EA2A76" w:rsidP="00EA2A76">
            <w:pPr>
              <w:ind w:left="0"/>
              <w:outlineLvl w:val="0"/>
              <w:rPr>
                <w:rFonts w:eastAsia="Calibri"/>
                <w:b/>
              </w:rPr>
            </w:pPr>
          </w:p>
          <w:p w:rsidR="00EA2A76" w:rsidRPr="00EA2A76" w:rsidRDefault="00EA2A76" w:rsidP="00EA2A76">
            <w:pPr>
              <w:ind w:left="0"/>
              <w:outlineLvl w:val="0"/>
              <w:rPr>
                <w:rFonts w:eastAsia="Calibri"/>
                <w:b/>
              </w:rPr>
            </w:pPr>
          </w:p>
        </w:tc>
      </w:tr>
    </w:tbl>
    <w:p w:rsidR="00EA2A76" w:rsidRPr="00EA2A76" w:rsidRDefault="00EA2A76" w:rsidP="00EA2A76">
      <w:pPr>
        <w:ind w:left="0"/>
        <w:jc w:val="left"/>
      </w:pPr>
    </w:p>
    <w:p w:rsidR="00465FD2" w:rsidRPr="00A17291" w:rsidRDefault="00465FD2" w:rsidP="00840B4D">
      <w:pPr>
        <w:ind w:left="0"/>
      </w:pPr>
    </w:p>
    <w:sectPr w:rsidR="00465FD2" w:rsidRPr="00A17291" w:rsidSect="00AD1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3012B"/>
    <w:rsid w:val="00E4664D"/>
    <w:rsid w:val="00E55D71"/>
    <w:rsid w:val="00E67E22"/>
    <w:rsid w:val="00EA2A76"/>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AB3C"/>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79</cp:revision>
  <dcterms:created xsi:type="dcterms:W3CDTF">2026-03-30T13:53:00Z</dcterms:created>
  <dcterms:modified xsi:type="dcterms:W3CDTF">2026-05-11T13:09:00Z</dcterms:modified>
</cp:coreProperties>
</file>