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047" w:rsidRPr="007B3047" w:rsidRDefault="007B3047" w:rsidP="007B3047">
      <w:pPr>
        <w:ind w:left="0"/>
        <w:jc w:val="center"/>
        <w:rPr>
          <w:rFonts w:eastAsia="Calibri"/>
          <w:b/>
          <w:lang w:eastAsia="en-US"/>
        </w:rPr>
      </w:pPr>
      <w:r w:rsidRPr="007B3047">
        <w:rPr>
          <w:rFonts w:eastAsia="Calibri"/>
          <w:b/>
          <w:lang w:eastAsia="en-US"/>
        </w:rPr>
        <w:t>Сравнительная таблица</w:t>
      </w:r>
    </w:p>
    <w:p w:rsidR="007B3047" w:rsidRPr="007B3047" w:rsidRDefault="007B3047" w:rsidP="007B3047">
      <w:pPr>
        <w:ind w:left="0"/>
        <w:jc w:val="center"/>
        <w:rPr>
          <w:rFonts w:eastAsia="Calibri"/>
          <w:b/>
          <w:lang w:eastAsia="en-US"/>
        </w:rPr>
      </w:pPr>
      <w:r w:rsidRPr="007B3047">
        <w:rPr>
          <w:rFonts w:eastAsia="Calibri"/>
          <w:b/>
          <w:lang w:eastAsia="en-US"/>
        </w:rPr>
        <w:t>к проекту закона Приднестровской Молдавской Республики</w:t>
      </w:r>
    </w:p>
    <w:p w:rsidR="007B3047" w:rsidRPr="007B3047" w:rsidRDefault="007B3047" w:rsidP="007B3047">
      <w:pPr>
        <w:ind w:left="0"/>
        <w:jc w:val="center"/>
        <w:rPr>
          <w:rFonts w:eastAsia="Calibri"/>
          <w:b/>
          <w:lang w:eastAsia="en-US"/>
        </w:rPr>
      </w:pPr>
      <w:r w:rsidRPr="007B3047">
        <w:rPr>
          <w:rFonts w:eastAsia="Calibri"/>
          <w:b/>
          <w:lang w:eastAsia="en-US"/>
        </w:rPr>
        <w:t>«О внесении изменения в Уголовно-процессуальный кодекс Приднестровской Молдавской Республики»</w:t>
      </w:r>
    </w:p>
    <w:p w:rsidR="007B3047" w:rsidRPr="007B3047" w:rsidRDefault="007B3047" w:rsidP="007B3047">
      <w:pPr>
        <w:ind w:left="0" w:firstLine="709"/>
        <w:rPr>
          <w:rFonts w:eastAsia="Calibri"/>
          <w:b/>
          <w:lang w:eastAsia="en-US"/>
        </w:rPr>
      </w:pPr>
    </w:p>
    <w:tbl>
      <w:tblPr>
        <w:tblStyle w:val="63"/>
        <w:tblW w:w="0" w:type="auto"/>
        <w:tblLook w:val="04A0" w:firstRow="1" w:lastRow="0" w:firstColumn="1" w:lastColumn="0" w:noHBand="0" w:noVBand="1"/>
      </w:tblPr>
      <w:tblGrid>
        <w:gridCol w:w="4671"/>
        <w:gridCol w:w="4674"/>
      </w:tblGrid>
      <w:tr w:rsidR="007B3047" w:rsidRPr="007B3047" w:rsidTr="000D43FE">
        <w:trPr>
          <w:trHeight w:val="70"/>
        </w:trPr>
        <w:tc>
          <w:tcPr>
            <w:tcW w:w="9345" w:type="dxa"/>
            <w:gridSpan w:val="2"/>
            <w:tcBorders>
              <w:top w:val="single" w:sz="4" w:space="0" w:color="auto"/>
              <w:left w:val="single" w:sz="4" w:space="0" w:color="auto"/>
              <w:bottom w:val="single" w:sz="4" w:space="0" w:color="auto"/>
            </w:tcBorders>
          </w:tcPr>
          <w:p w:rsidR="007B3047" w:rsidRPr="007B3047" w:rsidRDefault="007B3047" w:rsidP="007B3047">
            <w:pPr>
              <w:widowControl w:val="0"/>
              <w:ind w:left="0"/>
              <w:jc w:val="center"/>
              <w:rPr>
                <w:rFonts w:eastAsia="Calibri"/>
                <w:b/>
                <w:lang w:eastAsia="en-US"/>
              </w:rPr>
            </w:pPr>
            <w:r w:rsidRPr="007B3047">
              <w:rPr>
                <w:rFonts w:eastAsia="Calibri"/>
                <w:b/>
                <w:lang w:eastAsia="en-US"/>
              </w:rPr>
              <w:t>Уголовно-процессуальный кодекс Приднестровской Молдавской Республики</w:t>
            </w:r>
          </w:p>
        </w:tc>
      </w:tr>
      <w:tr w:rsidR="007B3047" w:rsidRPr="007B3047" w:rsidTr="000D43FE">
        <w:trPr>
          <w:trHeight w:val="174"/>
        </w:trPr>
        <w:tc>
          <w:tcPr>
            <w:tcW w:w="4671" w:type="dxa"/>
            <w:tcBorders>
              <w:top w:val="single" w:sz="4" w:space="0" w:color="auto"/>
              <w:left w:val="single" w:sz="4" w:space="0" w:color="auto"/>
              <w:bottom w:val="single" w:sz="4" w:space="0" w:color="auto"/>
              <w:right w:val="single" w:sz="4" w:space="0" w:color="auto"/>
            </w:tcBorders>
          </w:tcPr>
          <w:p w:rsidR="007B3047" w:rsidRPr="007B3047" w:rsidRDefault="007B3047" w:rsidP="007B3047">
            <w:pPr>
              <w:widowControl w:val="0"/>
              <w:ind w:left="0" w:firstLine="709"/>
              <w:rPr>
                <w:rFonts w:eastAsia="Calibri"/>
                <w:b/>
                <w:lang w:eastAsia="en-US"/>
              </w:rPr>
            </w:pPr>
            <w:r w:rsidRPr="007B3047">
              <w:rPr>
                <w:rFonts w:eastAsia="Calibri"/>
                <w:b/>
                <w:lang w:eastAsia="en-US"/>
              </w:rPr>
              <w:t>действующая редакция</w:t>
            </w:r>
          </w:p>
        </w:tc>
        <w:tc>
          <w:tcPr>
            <w:tcW w:w="4674" w:type="dxa"/>
            <w:tcBorders>
              <w:top w:val="single" w:sz="4" w:space="0" w:color="auto"/>
              <w:left w:val="single" w:sz="4" w:space="0" w:color="auto"/>
              <w:bottom w:val="single" w:sz="4" w:space="0" w:color="auto"/>
              <w:right w:val="single" w:sz="4" w:space="0" w:color="auto"/>
            </w:tcBorders>
          </w:tcPr>
          <w:p w:rsidR="007B3047" w:rsidRPr="007B3047" w:rsidRDefault="007B3047" w:rsidP="007B3047">
            <w:pPr>
              <w:widowControl w:val="0"/>
              <w:ind w:left="0" w:firstLine="709"/>
              <w:rPr>
                <w:rFonts w:eastAsia="Calibri"/>
                <w:b/>
                <w:lang w:eastAsia="en-US"/>
              </w:rPr>
            </w:pPr>
            <w:r w:rsidRPr="007B3047">
              <w:rPr>
                <w:rFonts w:eastAsia="Calibri"/>
                <w:b/>
                <w:lang w:eastAsia="en-US"/>
              </w:rPr>
              <w:t>предлагаемая редакция</w:t>
            </w:r>
          </w:p>
        </w:tc>
      </w:tr>
      <w:tr w:rsidR="007B3047" w:rsidRPr="007B3047" w:rsidTr="000D43FE">
        <w:trPr>
          <w:trHeight w:val="557"/>
        </w:trPr>
        <w:tc>
          <w:tcPr>
            <w:tcW w:w="4671" w:type="dxa"/>
            <w:tcBorders>
              <w:top w:val="single" w:sz="4" w:space="0" w:color="auto"/>
              <w:left w:val="single" w:sz="4" w:space="0" w:color="auto"/>
              <w:bottom w:val="single" w:sz="4" w:space="0" w:color="auto"/>
              <w:right w:val="single" w:sz="4" w:space="0" w:color="auto"/>
            </w:tcBorders>
          </w:tcPr>
          <w:p w:rsidR="007B3047" w:rsidRPr="007B3047" w:rsidRDefault="007B3047" w:rsidP="007B3047">
            <w:pPr>
              <w:widowControl w:val="0"/>
              <w:ind w:left="0" w:firstLine="709"/>
              <w:rPr>
                <w:rFonts w:eastAsia="Calibri"/>
                <w:b/>
                <w:lang w:eastAsia="en-US"/>
              </w:rPr>
            </w:pPr>
            <w:r w:rsidRPr="007B3047">
              <w:rPr>
                <w:rFonts w:eastAsia="Calibri"/>
                <w:b/>
                <w:lang w:eastAsia="en-US"/>
              </w:rPr>
              <w:t xml:space="preserve">Статья 77-1. </w:t>
            </w:r>
            <w:r w:rsidRPr="007B3047">
              <w:rPr>
                <w:rFonts w:eastAsia="Calibri"/>
                <w:lang w:eastAsia="en-US"/>
              </w:rPr>
              <w:t>Залог</w:t>
            </w:r>
          </w:p>
          <w:p w:rsidR="007B3047" w:rsidRPr="007B3047" w:rsidRDefault="007B3047" w:rsidP="007B3047">
            <w:pPr>
              <w:widowControl w:val="0"/>
              <w:ind w:left="0" w:firstLine="709"/>
              <w:rPr>
                <w:rFonts w:eastAsia="Calibri"/>
                <w:lang w:eastAsia="en-US"/>
              </w:rPr>
            </w:pPr>
            <w:r w:rsidRPr="007B3047">
              <w:rPr>
                <w:rFonts w:eastAsia="Calibri"/>
                <w:lang w:eastAsia="en-US"/>
              </w:rPr>
              <w:t>…</w:t>
            </w:r>
          </w:p>
          <w:p w:rsidR="007B3047" w:rsidRPr="007B3047" w:rsidRDefault="007B3047" w:rsidP="007B3047">
            <w:pPr>
              <w:ind w:left="0" w:firstLine="709"/>
            </w:pPr>
            <w:r w:rsidRPr="007B3047">
              <w:t xml:space="preserve">Вид и размер залога определяются судом с учетом характера совершенного преступления, данных о личности подозреваемого, обвиняемого либо подсудимого и имущественного положения залогодателя. При этом по уголовным делам о преступлениях небольшой и средней тяжести залог не может быть </w:t>
            </w:r>
            <w:r w:rsidRPr="007B3047">
              <w:rPr>
                <w:b/>
              </w:rPr>
              <w:t>более 1 000 (одной тысячи)</w:t>
            </w:r>
            <w:r w:rsidRPr="007B3047">
              <w:t xml:space="preserve"> расчетных уровней минимальной заработной платы, по уголовным делам о тяжких преступлениях – не менее 3 000 (трех тысяч) расчетных уровней минимальной заработной платы, а по особо тяжким – не менее 10 000 (десяти тысяч) расчетных уровней минимальной заработной платы. Не может приниматься в качестве залога имущество, на которое в соответствии с Гражданским процессуальным кодексом Приднестровской Молдавской Республики не может быть обращено взыскание. Порядок принятия, оценки, хранения, возврата, реализации, обращения взыскания на предмет залога и обращения залога в доход государства устанавливается Правительством Приднестровской Молдавской Республики.</w:t>
            </w:r>
          </w:p>
        </w:tc>
        <w:tc>
          <w:tcPr>
            <w:tcW w:w="4674" w:type="dxa"/>
            <w:tcBorders>
              <w:top w:val="single" w:sz="4" w:space="0" w:color="auto"/>
              <w:left w:val="single" w:sz="4" w:space="0" w:color="auto"/>
              <w:bottom w:val="single" w:sz="4" w:space="0" w:color="auto"/>
              <w:right w:val="single" w:sz="4" w:space="0" w:color="auto"/>
            </w:tcBorders>
          </w:tcPr>
          <w:p w:rsidR="007B3047" w:rsidRPr="007B3047" w:rsidRDefault="007B3047" w:rsidP="007B3047">
            <w:pPr>
              <w:widowControl w:val="0"/>
              <w:ind w:left="0" w:firstLine="709"/>
              <w:rPr>
                <w:rFonts w:eastAsia="Calibri"/>
                <w:b/>
                <w:lang w:eastAsia="en-US"/>
              </w:rPr>
            </w:pPr>
            <w:r w:rsidRPr="007B3047">
              <w:rPr>
                <w:rFonts w:eastAsia="Calibri"/>
                <w:b/>
                <w:lang w:eastAsia="en-US"/>
              </w:rPr>
              <w:t xml:space="preserve">Статья 77-1. </w:t>
            </w:r>
            <w:r w:rsidRPr="007B3047">
              <w:rPr>
                <w:rFonts w:eastAsia="Calibri"/>
                <w:lang w:eastAsia="en-US"/>
              </w:rPr>
              <w:t>Залог</w:t>
            </w:r>
          </w:p>
          <w:p w:rsidR="007B3047" w:rsidRPr="007B3047" w:rsidRDefault="007B3047" w:rsidP="007B3047">
            <w:pPr>
              <w:widowControl w:val="0"/>
              <w:ind w:left="0" w:firstLine="709"/>
              <w:rPr>
                <w:rFonts w:eastAsia="Calibri"/>
                <w:lang w:eastAsia="en-US"/>
              </w:rPr>
            </w:pPr>
            <w:r w:rsidRPr="007B3047">
              <w:rPr>
                <w:rFonts w:eastAsia="Calibri"/>
                <w:lang w:eastAsia="en-US"/>
              </w:rPr>
              <w:t>…</w:t>
            </w:r>
          </w:p>
          <w:p w:rsidR="007B3047" w:rsidRPr="007B3047" w:rsidRDefault="007B3047" w:rsidP="007B3047">
            <w:pPr>
              <w:ind w:left="0" w:firstLine="709"/>
            </w:pPr>
            <w:r w:rsidRPr="007B3047">
              <w:t xml:space="preserve">Вид и размер залога определяются судом с учетом характера совершенного преступления, данных о личности подозреваемого, обвиняемого либо подсудимого и имущественного положения залогодателя. При этом по уголовным делам о преступлениях небольшой и средней тяжести залог не может быть </w:t>
            </w:r>
            <w:r w:rsidRPr="007B3047">
              <w:rPr>
                <w:b/>
              </w:rPr>
              <w:t>менее</w:t>
            </w:r>
            <w:r w:rsidRPr="007B3047">
              <w:t xml:space="preserve"> </w:t>
            </w:r>
            <w:r w:rsidRPr="007B3047">
              <w:rPr>
                <w:b/>
              </w:rPr>
              <w:t>300 (трехсот)</w:t>
            </w:r>
            <w:r w:rsidRPr="007B3047">
              <w:t xml:space="preserve"> расчетных уровней минимальной заработной платы, по уголовным делам о тяжких преступлениях – не менее 3 000 (трех тысяч) расчетных уровней минимальной заработной платы, а по особо тяжким – не менее 10 000 (десяти тысяч) расчетных уровней минимальной заработной платы. Не может приниматься в качестве залога имущество, на которое в соответствии с Гражданским процессуальным кодексом Приднестровской Молдавской Республики не может быть обращено взыскание. Порядок принятия, оценки, хранения, возврата, реализации, обращения взыскания на предмет залога и обращения залога в доход государства устанавливается Правительством Приднестровской Молдавской Республики.</w:t>
            </w:r>
          </w:p>
        </w:tc>
      </w:tr>
    </w:tbl>
    <w:p w:rsidR="00465FD2" w:rsidRPr="000C6412" w:rsidRDefault="00465FD2" w:rsidP="007B3047">
      <w:pPr>
        <w:ind w:left="0"/>
      </w:pPr>
      <w:bookmarkStart w:id="0" w:name="_GoBack"/>
      <w:bookmarkEnd w:id="0"/>
    </w:p>
    <w:sectPr w:rsidR="00465FD2" w:rsidRPr="000C6412" w:rsidSect="00283F8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C1AB0"/>
    <w:rsid w:val="000C6412"/>
    <w:rsid w:val="0010443E"/>
    <w:rsid w:val="00147B5A"/>
    <w:rsid w:val="001764E8"/>
    <w:rsid w:val="00234162"/>
    <w:rsid w:val="00276593"/>
    <w:rsid w:val="00336B91"/>
    <w:rsid w:val="003C02A1"/>
    <w:rsid w:val="0040279E"/>
    <w:rsid w:val="00402C3C"/>
    <w:rsid w:val="004204C5"/>
    <w:rsid w:val="00465FD2"/>
    <w:rsid w:val="0049279D"/>
    <w:rsid w:val="004F2BFD"/>
    <w:rsid w:val="005669D6"/>
    <w:rsid w:val="005F0727"/>
    <w:rsid w:val="005F790B"/>
    <w:rsid w:val="0062219E"/>
    <w:rsid w:val="006354AC"/>
    <w:rsid w:val="00666CFF"/>
    <w:rsid w:val="00677842"/>
    <w:rsid w:val="00694279"/>
    <w:rsid w:val="006D0F80"/>
    <w:rsid w:val="006E4576"/>
    <w:rsid w:val="006F2894"/>
    <w:rsid w:val="007140FC"/>
    <w:rsid w:val="00725829"/>
    <w:rsid w:val="0072713F"/>
    <w:rsid w:val="00736078"/>
    <w:rsid w:val="00745731"/>
    <w:rsid w:val="00770CB3"/>
    <w:rsid w:val="007B3047"/>
    <w:rsid w:val="007C3B6C"/>
    <w:rsid w:val="00836AD0"/>
    <w:rsid w:val="00840B4D"/>
    <w:rsid w:val="00850477"/>
    <w:rsid w:val="00853717"/>
    <w:rsid w:val="008926AE"/>
    <w:rsid w:val="008B7DBE"/>
    <w:rsid w:val="008F70B4"/>
    <w:rsid w:val="0091069F"/>
    <w:rsid w:val="00922BB1"/>
    <w:rsid w:val="00945F4B"/>
    <w:rsid w:val="00947364"/>
    <w:rsid w:val="00996A81"/>
    <w:rsid w:val="009C0CBA"/>
    <w:rsid w:val="00A17291"/>
    <w:rsid w:val="00A32DA4"/>
    <w:rsid w:val="00A45323"/>
    <w:rsid w:val="00A500D1"/>
    <w:rsid w:val="00A92FB9"/>
    <w:rsid w:val="00B62C7E"/>
    <w:rsid w:val="00B90E5E"/>
    <w:rsid w:val="00BF25F5"/>
    <w:rsid w:val="00C30074"/>
    <w:rsid w:val="00C30585"/>
    <w:rsid w:val="00C54BC4"/>
    <w:rsid w:val="00CA0A80"/>
    <w:rsid w:val="00CA389A"/>
    <w:rsid w:val="00D45EF5"/>
    <w:rsid w:val="00DA4182"/>
    <w:rsid w:val="00DC2A0D"/>
    <w:rsid w:val="00E3012B"/>
    <w:rsid w:val="00E4664D"/>
    <w:rsid w:val="00E55D71"/>
    <w:rsid w:val="00E67E22"/>
    <w:rsid w:val="00EA2A76"/>
    <w:rsid w:val="00F137A8"/>
    <w:rsid w:val="00F13D1A"/>
    <w:rsid w:val="00F6164F"/>
    <w:rsid w:val="00F90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65BF"/>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336</Words>
  <Characters>1919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82</cp:revision>
  <dcterms:created xsi:type="dcterms:W3CDTF">2026-03-30T13:53:00Z</dcterms:created>
  <dcterms:modified xsi:type="dcterms:W3CDTF">2026-05-12T06:20:00Z</dcterms:modified>
</cp:coreProperties>
</file>