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D1C" w:rsidRPr="00F14D1C" w:rsidRDefault="00F14D1C" w:rsidP="00F14D1C">
      <w:pPr>
        <w:ind w:left="0"/>
        <w:jc w:val="center"/>
        <w:rPr>
          <w:bCs/>
          <w:color w:val="000000"/>
        </w:rPr>
      </w:pPr>
      <w:r w:rsidRPr="00F14D1C">
        <w:rPr>
          <w:bCs/>
          <w:color w:val="000000"/>
        </w:rPr>
        <w:t>Сравнительная таблица</w:t>
      </w:r>
    </w:p>
    <w:p w:rsidR="00F14D1C" w:rsidRPr="00F14D1C" w:rsidRDefault="00F14D1C" w:rsidP="00F14D1C">
      <w:pPr>
        <w:ind w:left="0" w:firstLine="567"/>
        <w:jc w:val="center"/>
        <w:rPr>
          <w:bCs/>
          <w:color w:val="000000"/>
        </w:rPr>
      </w:pPr>
      <w:r w:rsidRPr="00F14D1C">
        <w:rPr>
          <w:bCs/>
          <w:color w:val="000000"/>
        </w:rPr>
        <w:t>к проекту закона Приднестровской Молдавской Республики</w:t>
      </w:r>
    </w:p>
    <w:p w:rsidR="00F14D1C" w:rsidRPr="00F14D1C" w:rsidRDefault="00F14D1C" w:rsidP="00F14D1C">
      <w:pPr>
        <w:ind w:left="0" w:firstLine="567"/>
        <w:jc w:val="center"/>
        <w:rPr>
          <w:bCs/>
          <w:color w:val="000000"/>
        </w:rPr>
      </w:pPr>
      <w:r w:rsidRPr="00F14D1C">
        <w:rPr>
          <w:bCs/>
          <w:color w:val="000000"/>
        </w:rPr>
        <w:t>«О внесении изменения в Водный кодекс Приднестровской Молдавской Республики»</w:t>
      </w:r>
    </w:p>
    <w:p w:rsidR="00F14D1C" w:rsidRPr="00F14D1C" w:rsidRDefault="00F14D1C" w:rsidP="00F14D1C">
      <w:pPr>
        <w:ind w:left="0" w:firstLine="567"/>
        <w:jc w:val="center"/>
        <w:rPr>
          <w:bCs/>
          <w:color w:val="000000"/>
          <w:sz w:val="10"/>
          <w:szCs w:val="10"/>
        </w:rPr>
      </w:pPr>
    </w:p>
    <w:tbl>
      <w:tblPr>
        <w:tblW w:w="5153"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2"/>
        <w:gridCol w:w="4819"/>
      </w:tblGrid>
      <w:tr w:rsidR="00F14D1C" w:rsidRPr="00F14D1C" w:rsidTr="000D43FE">
        <w:trPr>
          <w:jc w:val="right"/>
        </w:trPr>
        <w:tc>
          <w:tcPr>
            <w:tcW w:w="2498" w:type="pct"/>
            <w:shd w:val="clear" w:color="auto" w:fill="auto"/>
          </w:tcPr>
          <w:p w:rsidR="00F14D1C" w:rsidRPr="00F14D1C" w:rsidRDefault="00F14D1C" w:rsidP="00F14D1C">
            <w:pPr>
              <w:ind w:left="0"/>
              <w:jc w:val="center"/>
              <w:rPr>
                <w:bCs/>
                <w:color w:val="000000"/>
                <w:sz w:val="20"/>
                <w:szCs w:val="20"/>
              </w:rPr>
            </w:pPr>
            <w:r w:rsidRPr="00F14D1C">
              <w:rPr>
                <w:bCs/>
                <w:color w:val="000000"/>
                <w:sz w:val="20"/>
                <w:szCs w:val="20"/>
              </w:rPr>
              <w:t>Действующая редакция</w:t>
            </w:r>
          </w:p>
        </w:tc>
        <w:tc>
          <w:tcPr>
            <w:tcW w:w="2502" w:type="pct"/>
            <w:shd w:val="clear" w:color="auto" w:fill="auto"/>
          </w:tcPr>
          <w:p w:rsidR="00F14D1C" w:rsidRPr="00F14D1C" w:rsidRDefault="00F14D1C" w:rsidP="00F14D1C">
            <w:pPr>
              <w:ind w:left="0"/>
              <w:jc w:val="center"/>
              <w:rPr>
                <w:bCs/>
                <w:color w:val="000000"/>
                <w:sz w:val="20"/>
                <w:szCs w:val="20"/>
              </w:rPr>
            </w:pPr>
            <w:r w:rsidRPr="00F14D1C">
              <w:rPr>
                <w:bCs/>
                <w:color w:val="000000"/>
                <w:sz w:val="20"/>
                <w:szCs w:val="20"/>
              </w:rPr>
              <w:t>Предлагаемая редакция</w:t>
            </w:r>
          </w:p>
        </w:tc>
      </w:tr>
      <w:tr w:rsidR="00F14D1C" w:rsidRPr="00F14D1C" w:rsidTr="000D43FE">
        <w:trPr>
          <w:jc w:val="right"/>
        </w:trPr>
        <w:tc>
          <w:tcPr>
            <w:tcW w:w="2498" w:type="pct"/>
            <w:shd w:val="clear" w:color="auto" w:fill="auto"/>
          </w:tcPr>
          <w:p w:rsidR="00F14D1C" w:rsidRPr="00F14D1C" w:rsidRDefault="00F14D1C" w:rsidP="00F14D1C">
            <w:pPr>
              <w:ind w:left="0"/>
              <w:jc w:val="center"/>
              <w:rPr>
                <w:bCs/>
                <w:color w:val="000000"/>
                <w:sz w:val="20"/>
                <w:szCs w:val="20"/>
              </w:rPr>
            </w:pPr>
            <w:r w:rsidRPr="00F14D1C">
              <w:rPr>
                <w:bCs/>
                <w:color w:val="000000"/>
                <w:sz w:val="20"/>
                <w:szCs w:val="20"/>
              </w:rPr>
              <w:t>1</w:t>
            </w:r>
          </w:p>
        </w:tc>
        <w:tc>
          <w:tcPr>
            <w:tcW w:w="2502" w:type="pct"/>
            <w:shd w:val="clear" w:color="auto" w:fill="auto"/>
          </w:tcPr>
          <w:p w:rsidR="00F14D1C" w:rsidRPr="00F14D1C" w:rsidRDefault="00F14D1C" w:rsidP="00F14D1C">
            <w:pPr>
              <w:ind w:left="0"/>
              <w:jc w:val="center"/>
              <w:rPr>
                <w:bCs/>
                <w:color w:val="000000"/>
                <w:sz w:val="20"/>
                <w:szCs w:val="20"/>
              </w:rPr>
            </w:pPr>
            <w:r w:rsidRPr="00F14D1C">
              <w:rPr>
                <w:bCs/>
                <w:color w:val="000000"/>
                <w:sz w:val="20"/>
                <w:szCs w:val="20"/>
              </w:rPr>
              <w:t>2</w:t>
            </w:r>
          </w:p>
        </w:tc>
      </w:tr>
      <w:tr w:rsidR="00F14D1C" w:rsidRPr="00F14D1C" w:rsidTr="000D43FE">
        <w:tblPrEx>
          <w:jc w:val="left"/>
        </w:tblPrEx>
        <w:tc>
          <w:tcPr>
            <w:tcW w:w="2498" w:type="pct"/>
          </w:tcPr>
          <w:p w:rsidR="00F14D1C" w:rsidRPr="00F14D1C" w:rsidRDefault="00F14D1C" w:rsidP="00F14D1C">
            <w:pPr>
              <w:ind w:left="0" w:firstLine="284"/>
              <w:rPr>
                <w:b/>
                <w:sz w:val="20"/>
                <w:szCs w:val="20"/>
              </w:rPr>
            </w:pPr>
            <w:r w:rsidRPr="00F14D1C">
              <w:rPr>
                <w:b/>
                <w:sz w:val="20"/>
                <w:szCs w:val="20"/>
              </w:rPr>
              <w:t>Статья 47. Система платежей, связанных с пользованием водными объектами</w:t>
            </w:r>
          </w:p>
          <w:p w:rsidR="00F14D1C" w:rsidRPr="00F14D1C" w:rsidRDefault="00F14D1C" w:rsidP="00F14D1C">
            <w:pPr>
              <w:ind w:left="0" w:firstLine="284"/>
              <w:rPr>
                <w:bCs/>
                <w:sz w:val="20"/>
                <w:szCs w:val="20"/>
              </w:rPr>
            </w:pPr>
            <w:r w:rsidRPr="00F14D1C">
              <w:rPr>
                <w:bCs/>
                <w:sz w:val="20"/>
                <w:szCs w:val="20"/>
              </w:rPr>
              <w:t>Система платежей, связанных с пользованием водными объектами, включает:</w:t>
            </w:r>
          </w:p>
          <w:p w:rsidR="00F14D1C" w:rsidRPr="00F14D1C" w:rsidRDefault="00F14D1C" w:rsidP="00F14D1C">
            <w:pPr>
              <w:ind w:left="0" w:firstLine="284"/>
              <w:rPr>
                <w:bCs/>
                <w:sz w:val="20"/>
                <w:szCs w:val="20"/>
              </w:rPr>
            </w:pPr>
            <w:r w:rsidRPr="00F14D1C">
              <w:rPr>
                <w:bCs/>
                <w:sz w:val="20"/>
                <w:szCs w:val="20"/>
              </w:rPr>
              <w:t>а) плату за пользование водными объектами. Платежи, связанные с пользованием водными объектами, осуществляют юридические и физические лица, имеющие разрешение на водопользование.</w:t>
            </w:r>
          </w:p>
          <w:p w:rsidR="00F14D1C" w:rsidRPr="00F14D1C" w:rsidRDefault="00F14D1C" w:rsidP="00F14D1C">
            <w:pPr>
              <w:ind w:left="0" w:firstLine="284"/>
              <w:rPr>
                <w:bCs/>
                <w:sz w:val="20"/>
                <w:szCs w:val="20"/>
              </w:rPr>
            </w:pPr>
            <w:r w:rsidRPr="00F14D1C">
              <w:rPr>
                <w:bCs/>
                <w:sz w:val="20"/>
                <w:szCs w:val="20"/>
              </w:rPr>
              <w:t>Отсутствие разрешения не является основанием для освобождения от оплаты за пользование водными объектами.</w:t>
            </w:r>
          </w:p>
          <w:p w:rsidR="00F14D1C" w:rsidRPr="00F14D1C" w:rsidRDefault="00F14D1C" w:rsidP="00F14D1C">
            <w:pPr>
              <w:ind w:left="0" w:firstLine="284"/>
              <w:rPr>
                <w:bCs/>
                <w:sz w:val="20"/>
                <w:szCs w:val="20"/>
              </w:rPr>
            </w:pPr>
            <w:r w:rsidRPr="00F14D1C">
              <w:rPr>
                <w:bCs/>
                <w:sz w:val="20"/>
                <w:szCs w:val="20"/>
              </w:rPr>
              <w:t>Платежи, связанные с пользованием водными объектами, поступают в виде регулярных взносов;</w:t>
            </w:r>
          </w:p>
          <w:p w:rsidR="00F14D1C" w:rsidRPr="00F14D1C" w:rsidRDefault="00F14D1C" w:rsidP="00F14D1C">
            <w:pPr>
              <w:ind w:left="0" w:firstLine="284"/>
              <w:rPr>
                <w:bCs/>
                <w:sz w:val="20"/>
                <w:szCs w:val="20"/>
              </w:rPr>
            </w:pPr>
            <w:r w:rsidRPr="00F14D1C">
              <w:rPr>
                <w:bCs/>
                <w:sz w:val="20"/>
                <w:szCs w:val="20"/>
              </w:rPr>
              <w:t>б) плату, направленную на восстановление и охрану водных объектов.</w:t>
            </w:r>
          </w:p>
          <w:p w:rsidR="00F14D1C" w:rsidRPr="00F14D1C" w:rsidRDefault="00F14D1C" w:rsidP="00F14D1C">
            <w:pPr>
              <w:ind w:left="0" w:firstLine="284"/>
              <w:rPr>
                <w:bCs/>
                <w:sz w:val="20"/>
                <w:szCs w:val="20"/>
              </w:rPr>
            </w:pPr>
            <w:r w:rsidRPr="00F14D1C">
              <w:rPr>
                <w:bCs/>
                <w:sz w:val="20"/>
                <w:szCs w:val="20"/>
              </w:rPr>
              <w:t>Плата, направленная на восстановление и охрану водных объектов, поступает в республиканский и местные бюджеты территорий, на которых они находятся, на формирование бюджетного целевого фонда.</w:t>
            </w:r>
          </w:p>
          <w:p w:rsidR="00F14D1C" w:rsidRPr="00F14D1C" w:rsidRDefault="00F14D1C" w:rsidP="00F14D1C">
            <w:pPr>
              <w:ind w:left="0" w:firstLine="284"/>
              <w:rPr>
                <w:bCs/>
                <w:sz w:val="20"/>
                <w:szCs w:val="20"/>
              </w:rPr>
            </w:pPr>
            <w:r w:rsidRPr="00F14D1C">
              <w:rPr>
                <w:bCs/>
                <w:sz w:val="20"/>
                <w:szCs w:val="20"/>
              </w:rPr>
              <w:t>Оплате за пользование водными объектами подлежит:</w:t>
            </w:r>
          </w:p>
          <w:p w:rsidR="00F14D1C" w:rsidRPr="00F14D1C" w:rsidRDefault="00F14D1C" w:rsidP="00F14D1C">
            <w:pPr>
              <w:ind w:left="0" w:firstLine="284"/>
              <w:rPr>
                <w:bCs/>
                <w:sz w:val="20"/>
                <w:szCs w:val="20"/>
              </w:rPr>
            </w:pPr>
            <w:r w:rsidRPr="00F14D1C">
              <w:rPr>
                <w:bCs/>
                <w:sz w:val="20"/>
                <w:szCs w:val="20"/>
              </w:rPr>
              <w:t>а) изъятие воды из водных объектов в пределах установленного лимита;</w:t>
            </w:r>
          </w:p>
          <w:p w:rsidR="00F14D1C" w:rsidRPr="00F14D1C" w:rsidRDefault="00F14D1C" w:rsidP="00F14D1C">
            <w:pPr>
              <w:ind w:left="0" w:firstLine="284"/>
              <w:rPr>
                <w:bCs/>
                <w:sz w:val="20"/>
                <w:szCs w:val="20"/>
              </w:rPr>
            </w:pPr>
            <w:r w:rsidRPr="00F14D1C">
              <w:rPr>
                <w:bCs/>
                <w:sz w:val="20"/>
                <w:szCs w:val="20"/>
              </w:rPr>
              <w:t>б) сверхлимитное изъятие воды. Плата за сверхлимитное изъятие воды поступает в республиканский и территориальные экологические фонды. За изъятие воды сверх лимита устанавливается повышенная плата;</w:t>
            </w:r>
          </w:p>
          <w:p w:rsidR="00F14D1C" w:rsidRPr="00F14D1C" w:rsidRDefault="00F14D1C" w:rsidP="00F14D1C">
            <w:pPr>
              <w:ind w:left="0" w:firstLine="284"/>
              <w:rPr>
                <w:bCs/>
                <w:sz w:val="20"/>
                <w:szCs w:val="20"/>
              </w:rPr>
            </w:pPr>
            <w:r w:rsidRPr="00F14D1C">
              <w:rPr>
                <w:bCs/>
                <w:sz w:val="20"/>
                <w:szCs w:val="20"/>
              </w:rPr>
              <w:t>в) использование водных объектов без изъятия воды в соответствии с условиями разрешения на водопользование;</w:t>
            </w:r>
          </w:p>
          <w:p w:rsidR="00F14D1C" w:rsidRPr="00F14D1C" w:rsidRDefault="00F14D1C" w:rsidP="00F14D1C">
            <w:pPr>
              <w:ind w:left="0" w:firstLine="284"/>
              <w:rPr>
                <w:bCs/>
                <w:sz w:val="20"/>
                <w:szCs w:val="20"/>
              </w:rPr>
            </w:pPr>
            <w:r w:rsidRPr="00F14D1C">
              <w:rPr>
                <w:bCs/>
                <w:sz w:val="20"/>
                <w:szCs w:val="20"/>
              </w:rPr>
              <w:t>г) сброс сточных вод нормативного качества в водные объекты в пределах установленных лимитов.</w:t>
            </w:r>
          </w:p>
          <w:p w:rsidR="00F14D1C" w:rsidRPr="00F14D1C" w:rsidRDefault="00F14D1C" w:rsidP="00F14D1C">
            <w:pPr>
              <w:ind w:left="0" w:firstLine="284"/>
              <w:rPr>
                <w:bCs/>
                <w:sz w:val="20"/>
                <w:szCs w:val="20"/>
              </w:rPr>
            </w:pPr>
            <w:r w:rsidRPr="00F14D1C">
              <w:rPr>
                <w:bCs/>
                <w:sz w:val="20"/>
                <w:szCs w:val="20"/>
              </w:rPr>
              <w:t>Порядок установления и взимания платы, связанной с пользованием водными объектами, ее предельные размеры, льготы по платежам, дифференцированные размеры платы устанавливаются действующим законодательством Приднестровской Молдавской Республики.</w:t>
            </w:r>
          </w:p>
          <w:p w:rsidR="00F14D1C" w:rsidRPr="00F14D1C" w:rsidRDefault="00F14D1C" w:rsidP="00F14D1C">
            <w:pPr>
              <w:ind w:left="0" w:firstLine="284"/>
              <w:rPr>
                <w:bCs/>
                <w:sz w:val="20"/>
                <w:szCs w:val="20"/>
              </w:rPr>
            </w:pPr>
            <w:r w:rsidRPr="00F14D1C">
              <w:rPr>
                <w:bCs/>
                <w:sz w:val="20"/>
                <w:szCs w:val="20"/>
              </w:rPr>
              <w:t>Плата, поступающая в республиканский бюджет, направляется на формирование целевого бюджетного фонда восстановления и охраны водных объектов.</w:t>
            </w:r>
          </w:p>
          <w:p w:rsidR="00F14D1C" w:rsidRPr="00F14D1C" w:rsidRDefault="00F14D1C" w:rsidP="00F14D1C">
            <w:pPr>
              <w:ind w:left="0" w:firstLine="284"/>
              <w:rPr>
                <w:bCs/>
                <w:sz w:val="20"/>
                <w:szCs w:val="20"/>
              </w:rPr>
            </w:pPr>
            <w:r w:rsidRPr="00F14D1C">
              <w:rPr>
                <w:bCs/>
                <w:sz w:val="20"/>
                <w:szCs w:val="20"/>
              </w:rPr>
              <w:t>Плата, поступающая в местные бюджеты, используется для финансирования мероприятий по рациональному использованию, восстановлению и охране водных объектов, охране от вредного влияния вод, осуществления научно-исследовательских и проектных работ, а также для иных целей, связанных с рациональным использованием, восстановлением и охраной водных объектов.</w:t>
            </w:r>
          </w:p>
          <w:p w:rsidR="00F14D1C" w:rsidRPr="00F14D1C" w:rsidRDefault="00F14D1C" w:rsidP="00F14D1C">
            <w:pPr>
              <w:ind w:left="0" w:firstLine="284"/>
              <w:rPr>
                <w:bCs/>
                <w:sz w:val="20"/>
                <w:szCs w:val="20"/>
              </w:rPr>
            </w:pPr>
            <w:r w:rsidRPr="00F14D1C">
              <w:rPr>
                <w:bCs/>
                <w:sz w:val="20"/>
                <w:szCs w:val="20"/>
              </w:rPr>
              <w:t>Плата, направленная на восстановление и охрану водных объектов, вносится за:</w:t>
            </w:r>
          </w:p>
          <w:p w:rsidR="00F14D1C" w:rsidRPr="00F14D1C" w:rsidRDefault="00F14D1C" w:rsidP="00F14D1C">
            <w:pPr>
              <w:ind w:left="0" w:firstLine="284"/>
              <w:rPr>
                <w:bCs/>
                <w:sz w:val="20"/>
                <w:szCs w:val="20"/>
              </w:rPr>
            </w:pPr>
            <w:r w:rsidRPr="00F14D1C">
              <w:rPr>
                <w:bCs/>
                <w:sz w:val="20"/>
                <w:szCs w:val="20"/>
              </w:rPr>
              <w:lastRenderedPageBreak/>
              <w:t>а) сброс в водные объекты сточных вод, в которых содержание вредных веществ превышает установленные нормативы;</w:t>
            </w:r>
          </w:p>
          <w:p w:rsidR="00F14D1C" w:rsidRPr="00F14D1C" w:rsidRDefault="00F14D1C" w:rsidP="00F14D1C">
            <w:pPr>
              <w:ind w:left="0" w:firstLine="284"/>
              <w:rPr>
                <w:bCs/>
                <w:sz w:val="20"/>
                <w:szCs w:val="20"/>
              </w:rPr>
            </w:pPr>
            <w:r w:rsidRPr="00F14D1C">
              <w:rPr>
                <w:bCs/>
                <w:sz w:val="20"/>
                <w:szCs w:val="20"/>
              </w:rPr>
              <w:t>б) сброс сточных вод нормативного качества, превышающих установленные лимиты, поступает в республиканский и местные бюджеты в соответствии с действующим законодательством, регулирующим порядок внесения платежей за загрязнение окружающей среды и пользование природными ресурсами.</w:t>
            </w:r>
          </w:p>
          <w:p w:rsidR="00F14D1C" w:rsidRPr="00F14D1C" w:rsidRDefault="00F14D1C" w:rsidP="00F14D1C">
            <w:pPr>
              <w:ind w:left="0" w:firstLine="284"/>
              <w:rPr>
                <w:bCs/>
                <w:sz w:val="20"/>
                <w:szCs w:val="20"/>
              </w:rPr>
            </w:pPr>
            <w:r w:rsidRPr="00F14D1C">
              <w:rPr>
                <w:bCs/>
                <w:sz w:val="20"/>
                <w:szCs w:val="20"/>
              </w:rPr>
              <w:t>За сброс в водные объекты сточных вод, содержащих превышающее установленные нормативы вредные вещества сточных вод нормативного качества сверх установленных лимитов, предусматривается повышенная плата, которая поступает в республиканский и местные бюджеты в соответствии с действующим законодательством, регулирующим порядок внесения платежей за загрязнение окружающей среды и пользование природными ресурсами, и направляется на формирование целевого бюджета экологического фонда, используемого согласно представленной Смете для финансирования мероприятий по восстановлению и охране водных объектов.</w:t>
            </w:r>
          </w:p>
          <w:p w:rsidR="00F14D1C" w:rsidRPr="00F14D1C" w:rsidRDefault="00F14D1C" w:rsidP="00F14D1C">
            <w:pPr>
              <w:ind w:left="0" w:firstLine="284"/>
              <w:rPr>
                <w:bCs/>
                <w:sz w:val="20"/>
                <w:szCs w:val="20"/>
              </w:rPr>
            </w:pPr>
            <w:r w:rsidRPr="00F14D1C">
              <w:rPr>
                <w:bCs/>
                <w:sz w:val="20"/>
                <w:szCs w:val="20"/>
              </w:rPr>
              <w:t>Порядок расходования средств Республиканского целевого бюджетного фонда восстановления и охраны водных объектов и Республиканского целевого бюджетного экологического фонда определяется Президентом Приднестровской Молдавской Республики.</w:t>
            </w:r>
          </w:p>
        </w:tc>
        <w:tc>
          <w:tcPr>
            <w:tcW w:w="2502" w:type="pct"/>
          </w:tcPr>
          <w:p w:rsidR="00F14D1C" w:rsidRPr="00F14D1C" w:rsidRDefault="00F14D1C" w:rsidP="00F14D1C">
            <w:pPr>
              <w:ind w:left="0" w:firstLine="284"/>
              <w:rPr>
                <w:strike/>
                <w:sz w:val="20"/>
                <w:szCs w:val="20"/>
              </w:rPr>
            </w:pPr>
            <w:r w:rsidRPr="00F14D1C">
              <w:rPr>
                <w:b/>
                <w:sz w:val="20"/>
                <w:szCs w:val="20"/>
              </w:rPr>
              <w:lastRenderedPageBreak/>
              <w:t>Статья 47.</w:t>
            </w:r>
            <w:r w:rsidRPr="00F14D1C">
              <w:rPr>
                <w:sz w:val="20"/>
                <w:szCs w:val="20"/>
              </w:rPr>
              <w:t xml:space="preserve"> </w:t>
            </w:r>
            <w:r w:rsidRPr="00F14D1C">
              <w:rPr>
                <w:b/>
                <w:bCs/>
                <w:sz w:val="20"/>
                <w:szCs w:val="20"/>
              </w:rPr>
              <w:t>Исключить.</w:t>
            </w:r>
          </w:p>
        </w:tc>
      </w:tr>
      <w:tr w:rsidR="00F14D1C" w:rsidRPr="00F14D1C" w:rsidTr="000D43FE">
        <w:tblPrEx>
          <w:jc w:val="left"/>
        </w:tblPrEx>
        <w:tc>
          <w:tcPr>
            <w:tcW w:w="2498" w:type="pct"/>
          </w:tcPr>
          <w:p w:rsidR="00F14D1C" w:rsidRPr="00F14D1C" w:rsidRDefault="00F14D1C" w:rsidP="00F14D1C">
            <w:pPr>
              <w:ind w:left="0" w:firstLine="284"/>
              <w:rPr>
                <w:b/>
                <w:sz w:val="20"/>
                <w:szCs w:val="20"/>
              </w:rPr>
            </w:pPr>
            <w:r w:rsidRPr="00F14D1C">
              <w:rPr>
                <w:b/>
                <w:sz w:val="20"/>
                <w:szCs w:val="20"/>
              </w:rPr>
              <w:t>Статья 48. Льготы по платежам, связанным с пользованием водными объектами</w:t>
            </w:r>
          </w:p>
          <w:p w:rsidR="00F14D1C" w:rsidRPr="00F14D1C" w:rsidRDefault="00F14D1C" w:rsidP="00F14D1C">
            <w:pPr>
              <w:ind w:left="0" w:firstLine="284"/>
              <w:rPr>
                <w:b/>
                <w:sz w:val="20"/>
                <w:szCs w:val="20"/>
              </w:rPr>
            </w:pPr>
          </w:p>
          <w:p w:rsidR="00F14D1C" w:rsidRPr="00F14D1C" w:rsidRDefault="00F14D1C" w:rsidP="00F14D1C">
            <w:pPr>
              <w:ind w:left="0" w:firstLine="284"/>
              <w:rPr>
                <w:bCs/>
                <w:sz w:val="20"/>
                <w:szCs w:val="20"/>
              </w:rPr>
            </w:pPr>
            <w:bookmarkStart w:id="0" w:name="_Hlk173828960"/>
            <w:r w:rsidRPr="00F14D1C">
              <w:rPr>
                <w:bCs/>
                <w:sz w:val="20"/>
                <w:szCs w:val="20"/>
              </w:rPr>
              <w:t>Государственным организациям, осуществляющим свою деятельность в социальной сфере, а также водопользователям, использующим водные объекты для нужд сельского хозяйства, минеральных - для лечебных целей, устанавливаются льготные предельные размеры платы за пользование водными объектами, в соответствии с действующим законодательством Приднестровской Молдавской Республики.</w:t>
            </w:r>
            <w:bookmarkEnd w:id="0"/>
          </w:p>
          <w:p w:rsidR="00F14D1C" w:rsidRPr="00F14D1C" w:rsidRDefault="00F14D1C" w:rsidP="00F14D1C">
            <w:pPr>
              <w:ind w:left="0" w:firstLine="284"/>
              <w:rPr>
                <w:b/>
                <w:sz w:val="20"/>
                <w:szCs w:val="20"/>
              </w:rPr>
            </w:pPr>
          </w:p>
          <w:p w:rsidR="00F14D1C" w:rsidRPr="00F14D1C" w:rsidRDefault="00F14D1C" w:rsidP="00F14D1C">
            <w:pPr>
              <w:ind w:left="0" w:firstLine="284"/>
              <w:rPr>
                <w:b/>
                <w:sz w:val="20"/>
                <w:szCs w:val="20"/>
              </w:rPr>
            </w:pPr>
          </w:p>
        </w:tc>
        <w:tc>
          <w:tcPr>
            <w:tcW w:w="2502" w:type="pct"/>
          </w:tcPr>
          <w:p w:rsidR="00F14D1C" w:rsidRPr="00F14D1C" w:rsidRDefault="00F14D1C" w:rsidP="00F14D1C">
            <w:pPr>
              <w:ind w:left="0" w:firstLine="284"/>
              <w:rPr>
                <w:b/>
                <w:sz w:val="20"/>
                <w:szCs w:val="20"/>
              </w:rPr>
            </w:pPr>
            <w:r w:rsidRPr="00F14D1C">
              <w:rPr>
                <w:b/>
                <w:sz w:val="20"/>
                <w:szCs w:val="20"/>
              </w:rPr>
              <w:t>Статья 48. Исключить.</w:t>
            </w:r>
          </w:p>
          <w:p w:rsidR="00F14D1C" w:rsidRPr="00F14D1C" w:rsidRDefault="00F14D1C" w:rsidP="00F14D1C">
            <w:pPr>
              <w:ind w:left="0" w:firstLine="284"/>
              <w:rPr>
                <w:b/>
                <w:sz w:val="20"/>
                <w:szCs w:val="20"/>
              </w:rPr>
            </w:pPr>
          </w:p>
        </w:tc>
      </w:tr>
    </w:tbl>
    <w:p w:rsidR="00465FD2" w:rsidRPr="00F14D1C" w:rsidRDefault="00465FD2" w:rsidP="00F14D1C">
      <w:pPr>
        <w:ind w:left="0"/>
      </w:pPr>
      <w:bookmarkStart w:id="1" w:name="_GoBack"/>
      <w:bookmarkEnd w:id="1"/>
    </w:p>
    <w:sectPr w:rsidR="00465FD2" w:rsidRPr="00F14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6412"/>
    <w:rsid w:val="0010443E"/>
    <w:rsid w:val="00104F8C"/>
    <w:rsid w:val="00113964"/>
    <w:rsid w:val="00147B5A"/>
    <w:rsid w:val="001764E8"/>
    <w:rsid w:val="00234162"/>
    <w:rsid w:val="00276593"/>
    <w:rsid w:val="002A1DF8"/>
    <w:rsid w:val="00336B91"/>
    <w:rsid w:val="003C02A1"/>
    <w:rsid w:val="00401B73"/>
    <w:rsid w:val="0040279E"/>
    <w:rsid w:val="00402C3C"/>
    <w:rsid w:val="004204C5"/>
    <w:rsid w:val="00465FD2"/>
    <w:rsid w:val="0049279D"/>
    <w:rsid w:val="004F2BFD"/>
    <w:rsid w:val="005669D6"/>
    <w:rsid w:val="005F0727"/>
    <w:rsid w:val="005F790B"/>
    <w:rsid w:val="0062219E"/>
    <w:rsid w:val="006354AC"/>
    <w:rsid w:val="00666CFF"/>
    <w:rsid w:val="00677842"/>
    <w:rsid w:val="00694279"/>
    <w:rsid w:val="006D0F80"/>
    <w:rsid w:val="006E4576"/>
    <w:rsid w:val="006F2894"/>
    <w:rsid w:val="007140FC"/>
    <w:rsid w:val="00725829"/>
    <w:rsid w:val="0072713F"/>
    <w:rsid w:val="00736078"/>
    <w:rsid w:val="00745731"/>
    <w:rsid w:val="00770CB3"/>
    <w:rsid w:val="007B3047"/>
    <w:rsid w:val="007C3B6C"/>
    <w:rsid w:val="00836AD0"/>
    <w:rsid w:val="00840B4D"/>
    <w:rsid w:val="00850477"/>
    <w:rsid w:val="00853717"/>
    <w:rsid w:val="008926AE"/>
    <w:rsid w:val="008B7DBE"/>
    <w:rsid w:val="008F70B4"/>
    <w:rsid w:val="0091069F"/>
    <w:rsid w:val="00922BB1"/>
    <w:rsid w:val="00945F4B"/>
    <w:rsid w:val="00947364"/>
    <w:rsid w:val="00996A81"/>
    <w:rsid w:val="009C0CBA"/>
    <w:rsid w:val="00A17291"/>
    <w:rsid w:val="00A32DA4"/>
    <w:rsid w:val="00A45323"/>
    <w:rsid w:val="00A500D1"/>
    <w:rsid w:val="00A92FB9"/>
    <w:rsid w:val="00B44CED"/>
    <w:rsid w:val="00B62C7E"/>
    <w:rsid w:val="00B90E5E"/>
    <w:rsid w:val="00BF25F5"/>
    <w:rsid w:val="00C30074"/>
    <w:rsid w:val="00C30585"/>
    <w:rsid w:val="00C54BC4"/>
    <w:rsid w:val="00CA0A80"/>
    <w:rsid w:val="00CA389A"/>
    <w:rsid w:val="00D45EF5"/>
    <w:rsid w:val="00DA4182"/>
    <w:rsid w:val="00DC2A0D"/>
    <w:rsid w:val="00E3012B"/>
    <w:rsid w:val="00E3031C"/>
    <w:rsid w:val="00E4664D"/>
    <w:rsid w:val="00E55D71"/>
    <w:rsid w:val="00E67E22"/>
    <w:rsid w:val="00EA2A76"/>
    <w:rsid w:val="00F10EE1"/>
    <w:rsid w:val="00F137A8"/>
    <w:rsid w:val="00F13D1A"/>
    <w:rsid w:val="00F14D1C"/>
    <w:rsid w:val="00F6164F"/>
    <w:rsid w:val="00F90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65BF"/>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602</Words>
  <Characters>3435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90</cp:revision>
  <dcterms:created xsi:type="dcterms:W3CDTF">2026-03-30T13:53:00Z</dcterms:created>
  <dcterms:modified xsi:type="dcterms:W3CDTF">2026-05-12T11:43:00Z</dcterms:modified>
</cp:coreProperties>
</file>