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2DD9" w:rsidRPr="00AB6494" w:rsidRDefault="00A52DD9" w:rsidP="00A52DD9">
      <w:pPr>
        <w:ind w:right="3414"/>
        <w:jc w:val="both"/>
        <w:rPr>
          <w:b/>
          <w:sz w:val="28"/>
          <w:szCs w:val="28"/>
        </w:rPr>
      </w:pPr>
    </w:p>
    <w:p w:rsidR="00A52DD9" w:rsidRPr="00AB6494" w:rsidRDefault="00A52DD9" w:rsidP="00A52DD9">
      <w:pPr>
        <w:ind w:right="3414"/>
        <w:jc w:val="both"/>
        <w:rPr>
          <w:b/>
          <w:sz w:val="28"/>
          <w:szCs w:val="28"/>
        </w:rPr>
      </w:pPr>
    </w:p>
    <w:p w:rsidR="00A52DD9" w:rsidRPr="00AB6494" w:rsidRDefault="00A52DD9" w:rsidP="00A52DD9">
      <w:pPr>
        <w:ind w:right="3414"/>
        <w:jc w:val="both"/>
        <w:rPr>
          <w:b/>
          <w:sz w:val="28"/>
          <w:szCs w:val="28"/>
        </w:rPr>
      </w:pPr>
    </w:p>
    <w:p w:rsidR="00A52DD9" w:rsidRPr="00AB6494" w:rsidRDefault="00A52DD9" w:rsidP="00A52DD9">
      <w:pPr>
        <w:ind w:right="3414"/>
        <w:jc w:val="both"/>
        <w:rPr>
          <w:b/>
          <w:sz w:val="28"/>
          <w:szCs w:val="28"/>
        </w:rPr>
      </w:pPr>
    </w:p>
    <w:p w:rsidR="00A52DD9" w:rsidRPr="00AB6494" w:rsidRDefault="00A52DD9" w:rsidP="00A52DD9">
      <w:pPr>
        <w:ind w:right="3684"/>
        <w:jc w:val="both"/>
        <w:rPr>
          <w:b/>
          <w:sz w:val="28"/>
          <w:szCs w:val="28"/>
        </w:rPr>
      </w:pPr>
    </w:p>
    <w:p w:rsidR="00A52DD9" w:rsidRPr="00AB6494" w:rsidRDefault="00A52DD9" w:rsidP="00A52DD9">
      <w:pPr>
        <w:ind w:right="-2"/>
        <w:jc w:val="center"/>
        <w:rPr>
          <w:b/>
          <w:sz w:val="28"/>
          <w:szCs w:val="28"/>
          <w:lang w:val="en-US"/>
        </w:rPr>
      </w:pPr>
      <w:r w:rsidRPr="00AB6494">
        <w:rPr>
          <w:b/>
          <w:sz w:val="28"/>
          <w:szCs w:val="28"/>
        </w:rPr>
        <w:t xml:space="preserve">ПОСТАНОВЛЕНИЕ № </w:t>
      </w:r>
      <w:r w:rsidR="000075D3">
        <w:rPr>
          <w:b/>
          <w:sz w:val="28"/>
          <w:szCs w:val="28"/>
        </w:rPr>
        <w:t>297</w:t>
      </w:r>
    </w:p>
    <w:p w:rsidR="00A52DD9" w:rsidRPr="00AB6494" w:rsidRDefault="00A52DD9" w:rsidP="00A52DD9">
      <w:pPr>
        <w:ind w:right="-2"/>
        <w:jc w:val="both"/>
        <w:rPr>
          <w:sz w:val="28"/>
          <w:szCs w:val="28"/>
        </w:rPr>
      </w:pPr>
    </w:p>
    <w:p w:rsidR="00A52DD9" w:rsidRPr="00AB6494" w:rsidRDefault="00A52DD9" w:rsidP="00A52DD9">
      <w:pPr>
        <w:ind w:right="-2"/>
        <w:jc w:val="both"/>
        <w:rPr>
          <w:sz w:val="28"/>
          <w:szCs w:val="28"/>
        </w:rPr>
      </w:pPr>
      <w:r w:rsidRPr="00AB6494">
        <w:rPr>
          <w:sz w:val="28"/>
          <w:szCs w:val="28"/>
        </w:rPr>
        <w:t xml:space="preserve">Принято Верховным Советом </w:t>
      </w:r>
    </w:p>
    <w:p w:rsidR="00A52DD9" w:rsidRPr="00AB6494" w:rsidRDefault="00A52DD9" w:rsidP="00A52DD9">
      <w:pPr>
        <w:ind w:right="-2"/>
        <w:jc w:val="both"/>
        <w:rPr>
          <w:sz w:val="28"/>
          <w:szCs w:val="28"/>
        </w:rPr>
      </w:pPr>
      <w:r w:rsidRPr="00AB6494">
        <w:rPr>
          <w:sz w:val="28"/>
          <w:szCs w:val="28"/>
        </w:rPr>
        <w:t>Приднестровской Молдавской Республики</w:t>
      </w:r>
      <w:r w:rsidR="00773ABB">
        <w:rPr>
          <w:sz w:val="28"/>
          <w:szCs w:val="28"/>
        </w:rPr>
        <w:t xml:space="preserve">                                  </w:t>
      </w:r>
      <w:r w:rsidRPr="00AB6494">
        <w:rPr>
          <w:sz w:val="28"/>
          <w:szCs w:val="28"/>
        </w:rPr>
        <w:t>13 мая 2026 года</w:t>
      </w:r>
    </w:p>
    <w:p w:rsidR="00A52DD9" w:rsidRPr="00AB6494" w:rsidRDefault="00A52DD9" w:rsidP="00A52DD9">
      <w:pPr>
        <w:ind w:right="-2"/>
        <w:jc w:val="both"/>
        <w:rPr>
          <w:sz w:val="28"/>
          <w:szCs w:val="28"/>
        </w:rPr>
      </w:pPr>
    </w:p>
    <w:p w:rsidR="007F7C61" w:rsidRPr="00A52DD9" w:rsidRDefault="00956F88" w:rsidP="00956F88">
      <w:pPr>
        <w:ind w:right="3402"/>
        <w:jc w:val="both"/>
        <w:rPr>
          <w:rFonts w:eastAsia="Calibri"/>
          <w:b/>
          <w:bCs/>
          <w:sz w:val="28"/>
          <w:szCs w:val="28"/>
        </w:rPr>
      </w:pPr>
      <w:r w:rsidRPr="00A52DD9">
        <w:rPr>
          <w:rFonts w:eastAsia="Calibri"/>
          <w:b/>
          <w:bCs/>
          <w:sz w:val="28"/>
          <w:szCs w:val="28"/>
        </w:rPr>
        <w:t>Об утверждении отчета о конечных результатах исполнения мероприятий государственной целевой программы «Иммунизация населения Приднестровской Молдавской Республики» на 2021–2025 годы</w:t>
      </w:r>
      <w:r w:rsidR="0084281C" w:rsidRPr="00A52DD9">
        <w:rPr>
          <w:rFonts w:eastAsia="Calibri"/>
          <w:b/>
          <w:bCs/>
          <w:sz w:val="28"/>
          <w:szCs w:val="28"/>
        </w:rPr>
        <w:t xml:space="preserve"> </w:t>
      </w:r>
      <w:r w:rsidRPr="00A52DD9">
        <w:rPr>
          <w:rFonts w:eastAsia="Calibri"/>
          <w:b/>
          <w:bCs/>
          <w:sz w:val="28"/>
          <w:szCs w:val="28"/>
        </w:rPr>
        <w:t>и эффективности использования финансовых средств за весь период ее реализации</w:t>
      </w:r>
    </w:p>
    <w:p w:rsidR="00956F88" w:rsidRPr="00A52DD9" w:rsidRDefault="00956F88" w:rsidP="007F7C61">
      <w:pPr>
        <w:rPr>
          <w:sz w:val="28"/>
          <w:szCs w:val="28"/>
        </w:rPr>
      </w:pPr>
    </w:p>
    <w:p w:rsidR="00094E14" w:rsidRPr="00A52DD9" w:rsidRDefault="00094E14" w:rsidP="00094E14">
      <w:pPr>
        <w:pStyle w:val="a3"/>
        <w:tabs>
          <w:tab w:val="left" w:pos="709"/>
          <w:tab w:val="left" w:pos="851"/>
          <w:tab w:val="left" w:pos="993"/>
        </w:tabs>
        <w:suppressAutoHyphens/>
        <w:ind w:firstLine="709"/>
        <w:jc w:val="both"/>
        <w:rPr>
          <w:rFonts w:eastAsia="Times New Roman"/>
          <w:sz w:val="28"/>
          <w:szCs w:val="28"/>
        </w:rPr>
      </w:pPr>
      <w:r w:rsidRPr="00A52DD9">
        <w:rPr>
          <w:rFonts w:eastAsia="Times New Roman"/>
          <w:sz w:val="28"/>
          <w:szCs w:val="28"/>
        </w:rPr>
        <w:t xml:space="preserve">Рассмотрев отчет об исполнении государственной целевой программы «Иммунизация населения Приднестровской Молдавской Республики </w:t>
      </w:r>
      <w:r w:rsidR="00515154">
        <w:rPr>
          <w:rFonts w:eastAsia="Times New Roman"/>
          <w:sz w:val="28"/>
          <w:szCs w:val="28"/>
        </w:rPr>
        <w:br/>
      </w:r>
      <w:r w:rsidRPr="00A52DD9">
        <w:rPr>
          <w:rFonts w:eastAsia="Times New Roman"/>
          <w:sz w:val="28"/>
          <w:szCs w:val="28"/>
        </w:rPr>
        <w:t>на</w:t>
      </w:r>
      <w:r w:rsidR="00773ABB">
        <w:rPr>
          <w:rFonts w:eastAsia="Times New Roman"/>
          <w:sz w:val="28"/>
          <w:szCs w:val="28"/>
        </w:rPr>
        <w:t xml:space="preserve"> </w:t>
      </w:r>
      <w:r w:rsidRPr="00A52DD9">
        <w:rPr>
          <w:rFonts w:eastAsia="Times New Roman"/>
          <w:sz w:val="28"/>
          <w:szCs w:val="28"/>
        </w:rPr>
        <w:t xml:space="preserve">2021–2025 годы </w:t>
      </w:r>
      <w:r w:rsidR="00956F88" w:rsidRPr="00A52DD9">
        <w:rPr>
          <w:rFonts w:eastAsia="Times New Roman"/>
          <w:sz w:val="28"/>
          <w:szCs w:val="28"/>
        </w:rPr>
        <w:t xml:space="preserve">за весь период </w:t>
      </w:r>
      <w:r w:rsidR="00432CC0" w:rsidRPr="00A52DD9">
        <w:rPr>
          <w:rFonts w:eastAsia="Times New Roman"/>
          <w:sz w:val="28"/>
          <w:szCs w:val="28"/>
        </w:rPr>
        <w:t>действия</w:t>
      </w:r>
      <w:r w:rsidRPr="00A52DD9">
        <w:rPr>
          <w:rFonts w:eastAsia="Times New Roman"/>
          <w:sz w:val="28"/>
          <w:szCs w:val="28"/>
        </w:rPr>
        <w:t>, представленный к рассмотрению Правительством Приднестровской Молдавской Республики (</w:t>
      </w:r>
      <w:r w:rsidRPr="00A52DD9">
        <w:rPr>
          <w:sz w:val="28"/>
          <w:szCs w:val="28"/>
        </w:rPr>
        <w:t xml:space="preserve">письмо Председателя Правительства от </w:t>
      </w:r>
      <w:r w:rsidR="00956F88" w:rsidRPr="00A52DD9">
        <w:rPr>
          <w:sz w:val="28"/>
          <w:szCs w:val="28"/>
        </w:rPr>
        <w:t>13</w:t>
      </w:r>
      <w:r w:rsidRPr="00A52DD9">
        <w:rPr>
          <w:sz w:val="28"/>
          <w:szCs w:val="28"/>
        </w:rPr>
        <w:t xml:space="preserve"> ма</w:t>
      </w:r>
      <w:r w:rsidR="00956F88" w:rsidRPr="00A52DD9">
        <w:rPr>
          <w:sz w:val="28"/>
          <w:szCs w:val="28"/>
        </w:rPr>
        <w:t>рта</w:t>
      </w:r>
      <w:r w:rsidRPr="00A52DD9">
        <w:rPr>
          <w:sz w:val="28"/>
          <w:szCs w:val="28"/>
        </w:rPr>
        <w:t xml:space="preserve"> 202</w:t>
      </w:r>
      <w:r w:rsidR="00956F88" w:rsidRPr="00A52DD9">
        <w:rPr>
          <w:sz w:val="28"/>
          <w:szCs w:val="28"/>
        </w:rPr>
        <w:t>6</w:t>
      </w:r>
      <w:r w:rsidRPr="00A52DD9">
        <w:rPr>
          <w:sz w:val="28"/>
          <w:szCs w:val="28"/>
        </w:rPr>
        <w:t xml:space="preserve"> года № 01-</w:t>
      </w:r>
      <w:r w:rsidR="00956F88" w:rsidRPr="00A52DD9">
        <w:rPr>
          <w:sz w:val="28"/>
          <w:szCs w:val="28"/>
        </w:rPr>
        <w:t>47</w:t>
      </w:r>
      <w:r w:rsidRPr="00A52DD9">
        <w:rPr>
          <w:sz w:val="28"/>
          <w:szCs w:val="28"/>
        </w:rPr>
        <w:t>/</w:t>
      </w:r>
      <w:r w:rsidR="00956F88" w:rsidRPr="00A52DD9">
        <w:rPr>
          <w:sz w:val="28"/>
          <w:szCs w:val="28"/>
        </w:rPr>
        <w:t>60</w:t>
      </w:r>
      <w:r w:rsidRPr="00A52DD9">
        <w:rPr>
          <w:rFonts w:eastAsia="Times New Roman"/>
          <w:sz w:val="28"/>
          <w:szCs w:val="28"/>
        </w:rPr>
        <w:t>) в соответствии с пунктом 5 статьи 16-1 Закона Придне</w:t>
      </w:r>
      <w:r w:rsidR="0084281C" w:rsidRPr="00A52DD9">
        <w:rPr>
          <w:rFonts w:eastAsia="Times New Roman"/>
          <w:sz w:val="28"/>
          <w:szCs w:val="28"/>
        </w:rPr>
        <w:t>стровской Молдавской Республики</w:t>
      </w:r>
      <w:r w:rsidR="00773ABB">
        <w:rPr>
          <w:rFonts w:eastAsia="Times New Roman"/>
          <w:sz w:val="28"/>
          <w:szCs w:val="28"/>
        </w:rPr>
        <w:t xml:space="preserve"> </w:t>
      </w:r>
      <w:r w:rsidR="00515154">
        <w:rPr>
          <w:rFonts w:eastAsia="Times New Roman"/>
          <w:sz w:val="28"/>
          <w:szCs w:val="28"/>
        </w:rPr>
        <w:br/>
      </w:r>
      <w:r w:rsidRPr="00A52DD9">
        <w:rPr>
          <w:rFonts w:eastAsia="Times New Roman"/>
          <w:sz w:val="28"/>
          <w:szCs w:val="28"/>
        </w:rPr>
        <w:t>«О бюджетной системе в Приднестровской Молдавской Республике», Верховный Совет Приднестровской Молдавской Республики отмечает следующее.</w:t>
      </w:r>
    </w:p>
    <w:p w:rsidR="00094E14" w:rsidRPr="00A52DD9" w:rsidRDefault="00094E14" w:rsidP="00D24F8C">
      <w:pPr>
        <w:pStyle w:val="a5"/>
        <w:ind w:firstLine="709"/>
        <w:jc w:val="both"/>
        <w:rPr>
          <w:rFonts w:ascii="Times New Roman" w:hAnsi="Times New Roman" w:cs="Times New Roman"/>
          <w:sz w:val="28"/>
          <w:szCs w:val="28"/>
        </w:rPr>
      </w:pPr>
      <w:r w:rsidRPr="00A52DD9">
        <w:rPr>
          <w:rFonts w:ascii="Times New Roman" w:hAnsi="Times New Roman" w:cs="Times New Roman"/>
          <w:sz w:val="28"/>
          <w:szCs w:val="28"/>
        </w:rPr>
        <w:t xml:space="preserve">Государственная целевая программа «Иммунизация населения Приднестровской Молдавской Республики» на 2021–2025 годы (далее </w:t>
      </w:r>
      <w:r w:rsidR="00D24F8C" w:rsidRPr="00A52DD9">
        <w:rPr>
          <w:rFonts w:ascii="Times New Roman" w:hAnsi="Times New Roman" w:cs="Times New Roman"/>
          <w:sz w:val="28"/>
          <w:szCs w:val="28"/>
        </w:rPr>
        <w:t xml:space="preserve">по тексту </w:t>
      </w:r>
      <w:r w:rsidRPr="00A52DD9">
        <w:rPr>
          <w:rFonts w:ascii="Times New Roman" w:hAnsi="Times New Roman" w:cs="Times New Roman"/>
          <w:sz w:val="28"/>
          <w:szCs w:val="28"/>
        </w:rPr>
        <w:t>– Программа) утверждена Законом Приднестровской Молдавской Республики</w:t>
      </w:r>
      <w:r w:rsidR="00D24F8C" w:rsidRPr="00A52DD9">
        <w:rPr>
          <w:rFonts w:ascii="Times New Roman" w:hAnsi="Times New Roman" w:cs="Times New Roman"/>
          <w:sz w:val="28"/>
          <w:szCs w:val="28"/>
        </w:rPr>
        <w:t xml:space="preserve"> </w:t>
      </w:r>
      <w:r w:rsidR="00432CC0" w:rsidRPr="00A52DD9">
        <w:rPr>
          <w:rFonts w:ascii="Times New Roman" w:hAnsi="Times New Roman" w:cs="Times New Roman"/>
          <w:sz w:val="28"/>
          <w:szCs w:val="28"/>
        </w:rPr>
        <w:t>от 27 ноября 2020 года № 207-З-</w:t>
      </w:r>
      <w:r w:rsidR="00432CC0" w:rsidRPr="00A52DD9">
        <w:rPr>
          <w:rFonts w:ascii="Times New Roman" w:hAnsi="Times New Roman" w:cs="Times New Roman"/>
          <w:sz w:val="28"/>
          <w:szCs w:val="28"/>
          <w:lang w:val="en-US"/>
        </w:rPr>
        <w:t>VI</w:t>
      </w:r>
      <w:r w:rsidR="00432CC0" w:rsidRPr="00A52DD9">
        <w:rPr>
          <w:rFonts w:ascii="Times New Roman" w:hAnsi="Times New Roman" w:cs="Times New Roman"/>
          <w:sz w:val="28"/>
          <w:szCs w:val="28"/>
        </w:rPr>
        <w:t xml:space="preserve"> </w:t>
      </w:r>
      <w:r w:rsidRPr="00A52DD9">
        <w:rPr>
          <w:rFonts w:ascii="Times New Roman" w:hAnsi="Times New Roman" w:cs="Times New Roman"/>
          <w:sz w:val="28"/>
          <w:szCs w:val="28"/>
        </w:rPr>
        <w:t xml:space="preserve">«Об утверждении государственной целевой программы «Иммунизация населения Приднестровской Молдавской Республики» на 2021–2025 годы» </w:t>
      </w:r>
      <w:r w:rsidR="00432CC0" w:rsidRPr="00A52DD9">
        <w:rPr>
          <w:rFonts w:ascii="Times New Roman" w:hAnsi="Times New Roman" w:cs="Times New Roman"/>
          <w:sz w:val="28"/>
          <w:szCs w:val="28"/>
        </w:rPr>
        <w:t xml:space="preserve">(САЗ 20-48) </w:t>
      </w:r>
      <w:r w:rsidRPr="00A52DD9">
        <w:rPr>
          <w:rFonts w:ascii="Times New Roman" w:hAnsi="Times New Roman" w:cs="Times New Roman"/>
          <w:sz w:val="28"/>
          <w:szCs w:val="28"/>
        </w:rPr>
        <w:t>и направлена на улучшение эпидемиологической ситуации по инфекциям, управляемым средствами специфической профилактики.</w:t>
      </w:r>
    </w:p>
    <w:p w:rsidR="00D24F8C" w:rsidRDefault="00D24F8C" w:rsidP="00D24F8C">
      <w:pPr>
        <w:pStyle w:val="a3"/>
        <w:tabs>
          <w:tab w:val="left" w:pos="709"/>
          <w:tab w:val="left" w:pos="851"/>
          <w:tab w:val="left" w:pos="993"/>
        </w:tabs>
        <w:suppressAutoHyphens/>
        <w:ind w:firstLine="709"/>
        <w:jc w:val="both"/>
        <w:rPr>
          <w:rFonts w:eastAsia="Times New Roman"/>
          <w:sz w:val="28"/>
          <w:szCs w:val="28"/>
        </w:rPr>
      </w:pPr>
      <w:r w:rsidRPr="00A52DD9">
        <w:rPr>
          <w:rFonts w:eastAsia="Times New Roman"/>
          <w:sz w:val="28"/>
          <w:szCs w:val="28"/>
        </w:rPr>
        <w:t xml:space="preserve">Реализация основных задач Программы </w:t>
      </w:r>
      <w:r w:rsidR="007A261E" w:rsidRPr="00A52DD9">
        <w:rPr>
          <w:rFonts w:eastAsia="Times New Roman"/>
          <w:sz w:val="28"/>
          <w:szCs w:val="28"/>
        </w:rPr>
        <w:t xml:space="preserve">помогла </w:t>
      </w:r>
      <w:r w:rsidRPr="00A52DD9">
        <w:rPr>
          <w:rFonts w:eastAsia="Times New Roman"/>
          <w:sz w:val="28"/>
          <w:szCs w:val="28"/>
        </w:rPr>
        <w:t xml:space="preserve">в значительной степени улучшить эпидемиологическую ситуацию, связанную с инфекционными заболеваниями, снизить уровень госпитализации и улучшить состояние здоровья населения в целом. </w:t>
      </w:r>
    </w:p>
    <w:p w:rsidR="00321016" w:rsidRPr="00A52DD9" w:rsidRDefault="0052002C" w:rsidP="00431212">
      <w:pPr>
        <w:pStyle w:val="a3"/>
        <w:suppressAutoHyphens/>
        <w:ind w:firstLine="709"/>
        <w:jc w:val="both"/>
        <w:rPr>
          <w:rFonts w:eastAsia="Times New Roman"/>
          <w:sz w:val="28"/>
          <w:szCs w:val="28"/>
        </w:rPr>
      </w:pPr>
      <w:r w:rsidRPr="00A52DD9">
        <w:rPr>
          <w:sz w:val="28"/>
          <w:szCs w:val="28"/>
        </w:rPr>
        <w:t>В 202</w:t>
      </w:r>
      <w:r w:rsidR="00DB19DE" w:rsidRPr="00A52DD9">
        <w:rPr>
          <w:sz w:val="28"/>
          <w:szCs w:val="28"/>
        </w:rPr>
        <w:t>1</w:t>
      </w:r>
      <w:r w:rsidR="00515154">
        <w:rPr>
          <w:sz w:val="28"/>
          <w:szCs w:val="28"/>
        </w:rPr>
        <w:t>–</w:t>
      </w:r>
      <w:r w:rsidR="00DB19DE" w:rsidRPr="00A52DD9">
        <w:rPr>
          <w:sz w:val="28"/>
          <w:szCs w:val="28"/>
        </w:rPr>
        <w:t>2025</w:t>
      </w:r>
      <w:r w:rsidRPr="00A52DD9">
        <w:rPr>
          <w:sz w:val="28"/>
          <w:szCs w:val="28"/>
        </w:rPr>
        <w:t xml:space="preserve"> год</w:t>
      </w:r>
      <w:r w:rsidR="003C1CD6" w:rsidRPr="00A52DD9">
        <w:rPr>
          <w:sz w:val="28"/>
          <w:szCs w:val="28"/>
        </w:rPr>
        <w:t>ах</w:t>
      </w:r>
      <w:r w:rsidR="00092C86" w:rsidRPr="00A52DD9">
        <w:rPr>
          <w:sz w:val="28"/>
          <w:szCs w:val="28"/>
        </w:rPr>
        <w:t xml:space="preserve"> Программой </w:t>
      </w:r>
      <w:r w:rsidRPr="00A52DD9">
        <w:rPr>
          <w:sz w:val="28"/>
          <w:szCs w:val="28"/>
        </w:rPr>
        <w:t xml:space="preserve">запланировано выделение из республиканского бюджета целевых средств на проведение </w:t>
      </w:r>
      <w:r w:rsidR="00DB19DE" w:rsidRPr="00A52DD9">
        <w:rPr>
          <w:sz w:val="28"/>
          <w:szCs w:val="28"/>
        </w:rPr>
        <w:t>шести</w:t>
      </w:r>
      <w:r w:rsidRPr="00A52DD9">
        <w:rPr>
          <w:sz w:val="28"/>
          <w:szCs w:val="28"/>
        </w:rPr>
        <w:t xml:space="preserve"> мероприятий в </w:t>
      </w:r>
      <w:r w:rsidR="003C1CD6" w:rsidRPr="00A52DD9">
        <w:rPr>
          <w:sz w:val="28"/>
          <w:szCs w:val="28"/>
        </w:rPr>
        <w:t>сумме 41</w:t>
      </w:r>
      <w:r w:rsidR="00515154">
        <w:rPr>
          <w:bCs/>
          <w:sz w:val="28"/>
          <w:szCs w:val="28"/>
        </w:rPr>
        <w:t> </w:t>
      </w:r>
      <w:r w:rsidR="00DB19DE" w:rsidRPr="00A52DD9">
        <w:rPr>
          <w:bCs/>
          <w:sz w:val="28"/>
          <w:szCs w:val="28"/>
        </w:rPr>
        <w:t xml:space="preserve">760 435 </w:t>
      </w:r>
      <w:r w:rsidRPr="00A52DD9">
        <w:rPr>
          <w:sz w:val="28"/>
          <w:szCs w:val="28"/>
        </w:rPr>
        <w:t>руб</w:t>
      </w:r>
      <w:r w:rsidR="00DA6619" w:rsidRPr="00A52DD9">
        <w:rPr>
          <w:sz w:val="28"/>
          <w:szCs w:val="28"/>
        </w:rPr>
        <w:t>лей</w:t>
      </w:r>
      <w:r w:rsidR="003C1CD6" w:rsidRPr="00A52DD9">
        <w:rPr>
          <w:sz w:val="28"/>
          <w:szCs w:val="28"/>
        </w:rPr>
        <w:t xml:space="preserve">. </w:t>
      </w:r>
      <w:r w:rsidR="00431212" w:rsidRPr="00431212">
        <w:rPr>
          <w:rFonts w:eastAsia="Times New Roman"/>
          <w:sz w:val="28"/>
          <w:szCs w:val="28"/>
        </w:rPr>
        <w:t>Сметами расходов, утвержденными законами о республиканском бюджете</w:t>
      </w:r>
      <w:r w:rsidR="00321016" w:rsidRPr="00A52DD9">
        <w:rPr>
          <w:rFonts w:eastAsia="Times New Roman"/>
          <w:sz w:val="28"/>
          <w:szCs w:val="28"/>
        </w:rPr>
        <w:t xml:space="preserve"> на </w:t>
      </w:r>
      <w:r w:rsidR="003C1CD6" w:rsidRPr="00A52DD9">
        <w:rPr>
          <w:rFonts w:eastAsia="Times New Roman"/>
          <w:sz w:val="28"/>
          <w:szCs w:val="28"/>
        </w:rPr>
        <w:t>2021</w:t>
      </w:r>
      <w:r w:rsidR="00515154">
        <w:rPr>
          <w:rFonts w:eastAsia="Times New Roman"/>
          <w:sz w:val="28"/>
          <w:szCs w:val="28"/>
        </w:rPr>
        <w:t>–</w:t>
      </w:r>
      <w:r w:rsidR="003C1CD6" w:rsidRPr="00A52DD9">
        <w:rPr>
          <w:rFonts w:eastAsia="Times New Roman"/>
          <w:sz w:val="28"/>
          <w:szCs w:val="28"/>
        </w:rPr>
        <w:t xml:space="preserve">2025 </w:t>
      </w:r>
      <w:r w:rsidR="00321016" w:rsidRPr="00A52DD9">
        <w:rPr>
          <w:rFonts w:eastAsia="Times New Roman"/>
          <w:sz w:val="28"/>
          <w:szCs w:val="28"/>
        </w:rPr>
        <w:t>год</w:t>
      </w:r>
      <w:r w:rsidR="007A261E" w:rsidRPr="00A52DD9">
        <w:rPr>
          <w:rFonts w:eastAsia="Times New Roman"/>
          <w:sz w:val="28"/>
          <w:szCs w:val="28"/>
        </w:rPr>
        <w:t>ы</w:t>
      </w:r>
      <w:r w:rsidR="00C81AFA">
        <w:rPr>
          <w:rFonts w:eastAsia="Times New Roman"/>
          <w:sz w:val="28"/>
          <w:szCs w:val="28"/>
        </w:rPr>
        <w:t>,</w:t>
      </w:r>
      <w:r w:rsidR="00321016" w:rsidRPr="00A52DD9">
        <w:rPr>
          <w:rFonts w:eastAsia="Times New Roman"/>
          <w:sz w:val="28"/>
          <w:szCs w:val="28"/>
        </w:rPr>
        <w:t xml:space="preserve"> </w:t>
      </w:r>
      <w:r w:rsidR="00527880" w:rsidRPr="00A52DD9">
        <w:rPr>
          <w:rFonts w:eastAsia="Times New Roman"/>
          <w:sz w:val="28"/>
          <w:szCs w:val="28"/>
        </w:rPr>
        <w:t xml:space="preserve">на реализацию мероприятий </w:t>
      </w:r>
      <w:r w:rsidR="00931C38" w:rsidRPr="00A52DD9">
        <w:rPr>
          <w:rFonts w:eastAsia="Times New Roman"/>
          <w:sz w:val="28"/>
          <w:szCs w:val="28"/>
        </w:rPr>
        <w:t xml:space="preserve">Программы </w:t>
      </w:r>
      <w:r w:rsidR="00321016" w:rsidRPr="00A52DD9">
        <w:rPr>
          <w:rFonts w:eastAsia="Times New Roman"/>
          <w:sz w:val="28"/>
          <w:szCs w:val="28"/>
        </w:rPr>
        <w:t>были заложены денежные средства в сумме</w:t>
      </w:r>
      <w:r w:rsidR="004E3B16" w:rsidRPr="00A52DD9">
        <w:rPr>
          <w:rFonts w:eastAsia="Times New Roman"/>
          <w:sz w:val="28"/>
          <w:szCs w:val="28"/>
        </w:rPr>
        <w:t xml:space="preserve"> </w:t>
      </w:r>
      <w:r w:rsidR="003C1CD6" w:rsidRPr="00A52DD9">
        <w:rPr>
          <w:sz w:val="28"/>
          <w:szCs w:val="28"/>
        </w:rPr>
        <w:t>25 068</w:t>
      </w:r>
      <w:r w:rsidR="00515154">
        <w:rPr>
          <w:sz w:val="28"/>
          <w:szCs w:val="28"/>
        </w:rPr>
        <w:t> </w:t>
      </w:r>
      <w:r w:rsidR="003C1CD6" w:rsidRPr="00A52DD9">
        <w:rPr>
          <w:sz w:val="28"/>
          <w:szCs w:val="28"/>
        </w:rPr>
        <w:t>259</w:t>
      </w:r>
      <w:r w:rsidR="00515154">
        <w:rPr>
          <w:sz w:val="28"/>
          <w:szCs w:val="28"/>
        </w:rPr>
        <w:t xml:space="preserve"> </w:t>
      </w:r>
      <w:r w:rsidR="00321016" w:rsidRPr="00A52DD9">
        <w:rPr>
          <w:sz w:val="28"/>
          <w:szCs w:val="28"/>
        </w:rPr>
        <w:t>руб</w:t>
      </w:r>
      <w:r w:rsidR="00DA6619" w:rsidRPr="00A52DD9">
        <w:rPr>
          <w:sz w:val="28"/>
          <w:szCs w:val="28"/>
        </w:rPr>
        <w:t>л</w:t>
      </w:r>
      <w:r w:rsidR="003C1CD6" w:rsidRPr="00A52DD9">
        <w:rPr>
          <w:sz w:val="28"/>
          <w:szCs w:val="28"/>
        </w:rPr>
        <w:t>ей</w:t>
      </w:r>
      <w:r w:rsidR="00321016" w:rsidRPr="00A52DD9">
        <w:rPr>
          <w:sz w:val="28"/>
          <w:szCs w:val="28"/>
        </w:rPr>
        <w:t xml:space="preserve"> (</w:t>
      </w:r>
      <w:r w:rsidR="003C1CD6" w:rsidRPr="00A52DD9">
        <w:rPr>
          <w:sz w:val="28"/>
          <w:szCs w:val="28"/>
        </w:rPr>
        <w:t>60</w:t>
      </w:r>
      <w:r w:rsidR="004B5339" w:rsidRPr="00A52DD9">
        <w:rPr>
          <w:rFonts w:eastAsia="Times New Roman"/>
          <w:sz w:val="28"/>
          <w:szCs w:val="28"/>
        </w:rPr>
        <w:t xml:space="preserve">,0 </w:t>
      </w:r>
      <w:r w:rsidR="00393218" w:rsidRPr="00A52DD9">
        <w:rPr>
          <w:rFonts w:eastAsia="Times New Roman"/>
          <w:sz w:val="28"/>
          <w:szCs w:val="28"/>
        </w:rPr>
        <w:t>процент</w:t>
      </w:r>
      <w:r w:rsidR="00C81AFA">
        <w:rPr>
          <w:rFonts w:eastAsia="Times New Roman"/>
          <w:sz w:val="28"/>
          <w:szCs w:val="28"/>
        </w:rPr>
        <w:t>а</w:t>
      </w:r>
      <w:r w:rsidR="00321016" w:rsidRPr="00A52DD9">
        <w:rPr>
          <w:sz w:val="28"/>
          <w:szCs w:val="28"/>
        </w:rPr>
        <w:t xml:space="preserve"> от суммы</w:t>
      </w:r>
      <w:r w:rsidR="001A5907" w:rsidRPr="00A52DD9">
        <w:rPr>
          <w:sz w:val="28"/>
          <w:szCs w:val="28"/>
        </w:rPr>
        <w:t xml:space="preserve">, запланированной по Программе). </w:t>
      </w:r>
      <w:r w:rsidR="00321016" w:rsidRPr="00A52DD9">
        <w:rPr>
          <w:rFonts w:eastAsia="Times New Roman"/>
          <w:sz w:val="28"/>
          <w:szCs w:val="28"/>
        </w:rPr>
        <w:lastRenderedPageBreak/>
        <w:t xml:space="preserve">Сумма финансирования за </w:t>
      </w:r>
      <w:r w:rsidR="003C1CD6" w:rsidRPr="00A52DD9">
        <w:rPr>
          <w:rFonts w:eastAsia="Times New Roman"/>
          <w:sz w:val="28"/>
          <w:szCs w:val="28"/>
        </w:rPr>
        <w:t>2021</w:t>
      </w:r>
      <w:r w:rsidR="00515154">
        <w:rPr>
          <w:rFonts w:eastAsia="Times New Roman"/>
          <w:sz w:val="28"/>
          <w:szCs w:val="28"/>
        </w:rPr>
        <w:t>–</w:t>
      </w:r>
      <w:r w:rsidR="003C1CD6" w:rsidRPr="00A52DD9">
        <w:rPr>
          <w:rFonts w:eastAsia="Times New Roman"/>
          <w:sz w:val="28"/>
          <w:szCs w:val="28"/>
        </w:rPr>
        <w:t>2025 год</w:t>
      </w:r>
      <w:r w:rsidR="00C81AFA">
        <w:rPr>
          <w:rFonts w:eastAsia="Times New Roman"/>
          <w:sz w:val="28"/>
          <w:szCs w:val="28"/>
        </w:rPr>
        <w:t>ы</w:t>
      </w:r>
      <w:r w:rsidR="003C1CD6" w:rsidRPr="00A52DD9">
        <w:rPr>
          <w:rFonts w:eastAsia="Times New Roman"/>
          <w:sz w:val="28"/>
          <w:szCs w:val="28"/>
        </w:rPr>
        <w:t xml:space="preserve"> </w:t>
      </w:r>
      <w:r w:rsidR="00321016" w:rsidRPr="00A52DD9">
        <w:rPr>
          <w:rFonts w:eastAsia="Times New Roman"/>
          <w:sz w:val="28"/>
          <w:szCs w:val="28"/>
        </w:rPr>
        <w:t xml:space="preserve">составила </w:t>
      </w:r>
      <w:r w:rsidR="003C1CD6" w:rsidRPr="00A52DD9">
        <w:rPr>
          <w:sz w:val="28"/>
          <w:szCs w:val="28"/>
        </w:rPr>
        <w:t>21</w:t>
      </w:r>
      <w:r w:rsidR="004B5339" w:rsidRPr="00A52DD9">
        <w:rPr>
          <w:sz w:val="28"/>
          <w:szCs w:val="28"/>
        </w:rPr>
        <w:t> 461</w:t>
      </w:r>
      <w:r w:rsidR="005D5C54">
        <w:rPr>
          <w:sz w:val="28"/>
          <w:szCs w:val="28"/>
        </w:rPr>
        <w:t> </w:t>
      </w:r>
      <w:r w:rsidR="003C1CD6" w:rsidRPr="00A52DD9">
        <w:rPr>
          <w:sz w:val="28"/>
          <w:szCs w:val="28"/>
        </w:rPr>
        <w:t>930</w:t>
      </w:r>
      <w:r w:rsidR="005D5C54">
        <w:rPr>
          <w:sz w:val="28"/>
          <w:szCs w:val="28"/>
        </w:rPr>
        <w:t xml:space="preserve"> </w:t>
      </w:r>
      <w:r w:rsidR="001A5907" w:rsidRPr="00A52DD9">
        <w:rPr>
          <w:rFonts w:eastAsia="Times New Roman"/>
          <w:sz w:val="28"/>
          <w:szCs w:val="28"/>
        </w:rPr>
        <w:t>руб</w:t>
      </w:r>
      <w:r w:rsidR="00A22168" w:rsidRPr="00A52DD9">
        <w:rPr>
          <w:rFonts w:eastAsia="Times New Roman"/>
          <w:sz w:val="28"/>
          <w:szCs w:val="28"/>
        </w:rPr>
        <w:t>лей</w:t>
      </w:r>
      <w:r w:rsidR="001A5907" w:rsidRPr="00A52DD9">
        <w:rPr>
          <w:rFonts w:eastAsia="Times New Roman"/>
          <w:sz w:val="28"/>
          <w:szCs w:val="28"/>
        </w:rPr>
        <w:t xml:space="preserve"> </w:t>
      </w:r>
      <w:r w:rsidR="00233B7A">
        <w:rPr>
          <w:rFonts w:eastAsia="Times New Roman"/>
          <w:sz w:val="28"/>
          <w:szCs w:val="28"/>
        </w:rPr>
        <w:br/>
      </w:r>
      <w:r w:rsidR="00321016" w:rsidRPr="00A52DD9">
        <w:rPr>
          <w:rFonts w:eastAsia="Times New Roman"/>
          <w:sz w:val="28"/>
          <w:szCs w:val="28"/>
        </w:rPr>
        <w:t>(</w:t>
      </w:r>
      <w:r w:rsidR="003C1CD6" w:rsidRPr="00A52DD9">
        <w:rPr>
          <w:rFonts w:eastAsia="Times New Roman"/>
          <w:sz w:val="28"/>
          <w:szCs w:val="28"/>
        </w:rPr>
        <w:t xml:space="preserve">85,6 </w:t>
      </w:r>
      <w:r w:rsidR="00393218" w:rsidRPr="00A52DD9">
        <w:rPr>
          <w:rFonts w:eastAsia="Times New Roman"/>
          <w:sz w:val="28"/>
          <w:szCs w:val="28"/>
        </w:rPr>
        <w:t xml:space="preserve">процента </w:t>
      </w:r>
      <w:r w:rsidR="00321016" w:rsidRPr="00A52DD9">
        <w:rPr>
          <w:rFonts w:eastAsia="Times New Roman"/>
          <w:sz w:val="28"/>
          <w:szCs w:val="28"/>
        </w:rPr>
        <w:t>от суммы, запланированной по смете расходов республиканского бюджета)</w:t>
      </w:r>
      <w:r w:rsidR="00B01C8A" w:rsidRPr="00A52DD9">
        <w:rPr>
          <w:rFonts w:eastAsia="Times New Roman"/>
          <w:sz w:val="28"/>
          <w:szCs w:val="28"/>
        </w:rPr>
        <w:t>.</w:t>
      </w:r>
    </w:p>
    <w:p w:rsidR="00B01C8A" w:rsidRPr="00A52DD9" w:rsidRDefault="00B01C8A" w:rsidP="00B01C8A">
      <w:pPr>
        <w:ind w:firstLine="709"/>
        <w:jc w:val="both"/>
        <w:rPr>
          <w:sz w:val="28"/>
          <w:szCs w:val="28"/>
        </w:rPr>
      </w:pPr>
      <w:r w:rsidRPr="00A52DD9">
        <w:rPr>
          <w:sz w:val="28"/>
          <w:szCs w:val="28"/>
        </w:rPr>
        <w:t>В рамках исполнения Программы реализуются следующие мероприятия.</w:t>
      </w:r>
    </w:p>
    <w:p w:rsidR="003C1CD6" w:rsidRPr="00A52DD9" w:rsidRDefault="00817F1B" w:rsidP="003C1CD6">
      <w:pPr>
        <w:pStyle w:val="a3"/>
        <w:suppressAutoHyphens/>
        <w:ind w:firstLine="709"/>
        <w:jc w:val="both"/>
        <w:rPr>
          <w:rFonts w:eastAsia="Times New Roman"/>
          <w:sz w:val="28"/>
          <w:szCs w:val="28"/>
        </w:rPr>
      </w:pPr>
      <w:r w:rsidRPr="00A52DD9">
        <w:rPr>
          <w:rFonts w:eastAsia="Times New Roman"/>
          <w:sz w:val="28"/>
          <w:szCs w:val="28"/>
        </w:rPr>
        <w:t>1.</w:t>
      </w:r>
      <w:r w:rsidR="00CC14AE" w:rsidRPr="00A52DD9">
        <w:rPr>
          <w:sz w:val="28"/>
          <w:szCs w:val="28"/>
        </w:rPr>
        <w:t xml:space="preserve"> </w:t>
      </w:r>
      <w:r w:rsidR="00DF7DAF" w:rsidRPr="00A52DD9">
        <w:rPr>
          <w:rFonts w:eastAsia="Times New Roman"/>
          <w:sz w:val="28"/>
          <w:szCs w:val="28"/>
        </w:rPr>
        <w:t xml:space="preserve">Подготовка </w:t>
      </w:r>
      <w:r w:rsidR="00CC14AE" w:rsidRPr="00A52DD9">
        <w:rPr>
          <w:rFonts w:eastAsia="Times New Roman"/>
          <w:sz w:val="28"/>
          <w:szCs w:val="28"/>
        </w:rPr>
        <w:t>кадров.</w:t>
      </w:r>
    </w:p>
    <w:p w:rsidR="00CC14AE" w:rsidRPr="00A52DD9" w:rsidRDefault="00092C86" w:rsidP="00E55768">
      <w:pPr>
        <w:pStyle w:val="a3"/>
        <w:tabs>
          <w:tab w:val="left" w:pos="709"/>
          <w:tab w:val="left" w:pos="851"/>
          <w:tab w:val="left" w:pos="993"/>
        </w:tabs>
        <w:suppressAutoHyphens/>
        <w:ind w:firstLine="709"/>
        <w:jc w:val="both"/>
        <w:rPr>
          <w:sz w:val="28"/>
          <w:szCs w:val="28"/>
        </w:rPr>
      </w:pPr>
      <w:r w:rsidRPr="00A52DD9">
        <w:rPr>
          <w:rFonts w:eastAsia="Times New Roman"/>
          <w:sz w:val="28"/>
          <w:szCs w:val="28"/>
        </w:rPr>
        <w:t>В 2021–2025 год</w:t>
      </w:r>
      <w:r w:rsidR="00653BCA">
        <w:rPr>
          <w:rFonts w:eastAsia="Times New Roman"/>
          <w:sz w:val="28"/>
          <w:szCs w:val="28"/>
        </w:rPr>
        <w:t>ах</w:t>
      </w:r>
      <w:r w:rsidRPr="00A52DD9">
        <w:rPr>
          <w:rFonts w:eastAsia="Times New Roman"/>
          <w:sz w:val="28"/>
          <w:szCs w:val="28"/>
        </w:rPr>
        <w:t xml:space="preserve"> </w:t>
      </w:r>
      <w:r w:rsidR="00CC14AE" w:rsidRPr="00A52DD9">
        <w:rPr>
          <w:rFonts w:eastAsia="Times New Roman"/>
          <w:sz w:val="28"/>
          <w:szCs w:val="28"/>
        </w:rPr>
        <w:t>Программ</w:t>
      </w:r>
      <w:r w:rsidRPr="00A52DD9">
        <w:rPr>
          <w:rFonts w:eastAsia="Times New Roman"/>
          <w:sz w:val="28"/>
          <w:szCs w:val="28"/>
        </w:rPr>
        <w:t>ой</w:t>
      </w:r>
      <w:r w:rsidR="00CC14AE" w:rsidRPr="00A52DD9">
        <w:rPr>
          <w:rFonts w:eastAsia="Times New Roman"/>
          <w:sz w:val="28"/>
          <w:szCs w:val="28"/>
        </w:rPr>
        <w:t xml:space="preserve"> на подготовку кадров предусмотрен 62 661 рубль. </w:t>
      </w:r>
      <w:r w:rsidR="00E55768">
        <w:rPr>
          <w:rFonts w:eastAsia="Times New Roman"/>
          <w:sz w:val="28"/>
          <w:szCs w:val="28"/>
        </w:rPr>
        <w:t>Сметами расходов, утвержденными законами о республиканском бюджете</w:t>
      </w:r>
      <w:r w:rsidR="00CC14AE" w:rsidRPr="00A52DD9">
        <w:rPr>
          <w:rFonts w:eastAsia="Times New Roman"/>
          <w:sz w:val="28"/>
          <w:szCs w:val="28"/>
        </w:rPr>
        <w:t xml:space="preserve"> </w:t>
      </w:r>
      <w:r w:rsidR="00653BCA" w:rsidRPr="00A52DD9">
        <w:rPr>
          <w:rFonts w:eastAsia="Times New Roman"/>
          <w:sz w:val="28"/>
          <w:szCs w:val="28"/>
        </w:rPr>
        <w:t>на 2021</w:t>
      </w:r>
      <w:r w:rsidR="00653BCA">
        <w:rPr>
          <w:rFonts w:eastAsia="Times New Roman"/>
          <w:sz w:val="28"/>
          <w:szCs w:val="28"/>
        </w:rPr>
        <w:t>–</w:t>
      </w:r>
      <w:r w:rsidR="00653BCA" w:rsidRPr="00A52DD9">
        <w:rPr>
          <w:rFonts w:eastAsia="Times New Roman"/>
          <w:sz w:val="28"/>
          <w:szCs w:val="28"/>
        </w:rPr>
        <w:t>2025 годы</w:t>
      </w:r>
      <w:r w:rsidR="00114565">
        <w:rPr>
          <w:rFonts w:eastAsia="Times New Roman"/>
          <w:sz w:val="28"/>
          <w:szCs w:val="28"/>
        </w:rPr>
        <w:t>,</w:t>
      </w:r>
      <w:r w:rsidR="00653BCA" w:rsidRPr="00A52DD9">
        <w:rPr>
          <w:rFonts w:eastAsia="Times New Roman"/>
          <w:sz w:val="28"/>
          <w:szCs w:val="28"/>
        </w:rPr>
        <w:t xml:space="preserve"> </w:t>
      </w:r>
      <w:r w:rsidR="002D2434" w:rsidRPr="00A52DD9">
        <w:rPr>
          <w:rFonts w:eastAsia="Times New Roman"/>
          <w:sz w:val="28"/>
          <w:szCs w:val="28"/>
        </w:rPr>
        <w:t xml:space="preserve">плановые </w:t>
      </w:r>
      <w:r w:rsidR="00CC14AE" w:rsidRPr="00A52DD9">
        <w:rPr>
          <w:rFonts w:eastAsia="Times New Roman"/>
          <w:sz w:val="28"/>
          <w:szCs w:val="28"/>
        </w:rPr>
        <w:t xml:space="preserve">лимиты финансирования не предусмотрены. В данной связи </w:t>
      </w:r>
      <w:r w:rsidR="002D2434" w:rsidRPr="00A52DD9">
        <w:rPr>
          <w:rFonts w:eastAsia="Times New Roman"/>
          <w:sz w:val="28"/>
          <w:szCs w:val="28"/>
        </w:rPr>
        <w:t>подготовка кадров не осуществлялась.</w:t>
      </w:r>
    </w:p>
    <w:p w:rsidR="00393AC2" w:rsidRPr="00A52DD9" w:rsidRDefault="00817F1B" w:rsidP="00931C38">
      <w:pPr>
        <w:ind w:firstLine="709"/>
        <w:jc w:val="both"/>
        <w:rPr>
          <w:sz w:val="28"/>
          <w:szCs w:val="28"/>
          <w:lang w:eastAsia="en-US"/>
        </w:rPr>
      </w:pPr>
      <w:r w:rsidRPr="00A52DD9">
        <w:rPr>
          <w:sz w:val="28"/>
          <w:szCs w:val="28"/>
          <w:lang w:eastAsia="en-US"/>
        </w:rPr>
        <w:t>2.</w:t>
      </w:r>
      <w:r w:rsidR="00321016" w:rsidRPr="00A52DD9">
        <w:rPr>
          <w:sz w:val="28"/>
          <w:szCs w:val="28"/>
          <w:lang w:eastAsia="en-US"/>
        </w:rPr>
        <w:t xml:space="preserve"> </w:t>
      </w:r>
      <w:r w:rsidR="00DF7DAF" w:rsidRPr="00A52DD9">
        <w:rPr>
          <w:sz w:val="28"/>
          <w:szCs w:val="28"/>
          <w:lang w:eastAsia="en-US"/>
        </w:rPr>
        <w:t xml:space="preserve">Приобретение </w:t>
      </w:r>
      <w:r w:rsidR="00321016" w:rsidRPr="00A52DD9">
        <w:rPr>
          <w:sz w:val="28"/>
          <w:szCs w:val="28"/>
          <w:lang w:eastAsia="en-US"/>
        </w:rPr>
        <w:t>и транспортировк</w:t>
      </w:r>
      <w:r w:rsidR="00DF7DAF" w:rsidRPr="00A52DD9">
        <w:rPr>
          <w:sz w:val="28"/>
          <w:szCs w:val="28"/>
          <w:lang w:eastAsia="en-US"/>
        </w:rPr>
        <w:t>а</w:t>
      </w:r>
      <w:r w:rsidR="00321016" w:rsidRPr="00A52DD9">
        <w:rPr>
          <w:sz w:val="28"/>
          <w:szCs w:val="28"/>
          <w:lang w:eastAsia="en-US"/>
        </w:rPr>
        <w:t xml:space="preserve"> вакцин и средств для иммунизации</w:t>
      </w:r>
      <w:r w:rsidR="00393AC2" w:rsidRPr="00A52DD9">
        <w:rPr>
          <w:sz w:val="28"/>
          <w:szCs w:val="28"/>
          <w:lang w:eastAsia="en-US"/>
        </w:rPr>
        <w:t>.</w:t>
      </w:r>
    </w:p>
    <w:p w:rsidR="00FE3288" w:rsidRPr="00A52DD9" w:rsidRDefault="00393AC2" w:rsidP="00233B7A">
      <w:pPr>
        <w:ind w:firstLine="709"/>
        <w:jc w:val="both"/>
        <w:rPr>
          <w:rFonts w:eastAsia="Calibri"/>
          <w:bCs/>
          <w:sz w:val="28"/>
          <w:szCs w:val="28"/>
          <w:lang w:val="x-none" w:eastAsia="en-US"/>
        </w:rPr>
      </w:pPr>
      <w:r w:rsidRPr="00A52DD9">
        <w:rPr>
          <w:sz w:val="28"/>
          <w:szCs w:val="28"/>
          <w:lang w:eastAsia="en-US"/>
        </w:rPr>
        <w:t>Программой в 2021–2025 год</w:t>
      </w:r>
      <w:r w:rsidR="002B0BE7">
        <w:rPr>
          <w:sz w:val="28"/>
          <w:szCs w:val="28"/>
          <w:lang w:eastAsia="en-US"/>
        </w:rPr>
        <w:t>ах</w:t>
      </w:r>
      <w:r w:rsidRPr="00A52DD9">
        <w:rPr>
          <w:sz w:val="28"/>
          <w:szCs w:val="28"/>
          <w:lang w:eastAsia="en-US"/>
        </w:rPr>
        <w:t xml:space="preserve"> предусмотрено </w:t>
      </w:r>
      <w:r w:rsidR="007A261E" w:rsidRPr="00A52DD9">
        <w:rPr>
          <w:sz w:val="28"/>
          <w:szCs w:val="28"/>
          <w:lang w:eastAsia="en-US"/>
        </w:rPr>
        <w:t>финансирование в сумме</w:t>
      </w:r>
      <w:r w:rsidR="00773ABB">
        <w:rPr>
          <w:sz w:val="28"/>
          <w:szCs w:val="28"/>
          <w:lang w:eastAsia="en-US"/>
        </w:rPr>
        <w:t xml:space="preserve"> </w:t>
      </w:r>
      <w:r w:rsidRPr="00A52DD9">
        <w:rPr>
          <w:sz w:val="28"/>
          <w:szCs w:val="28"/>
          <w:lang w:eastAsia="en-US"/>
        </w:rPr>
        <w:t>31</w:t>
      </w:r>
      <w:r w:rsidR="005D5C54">
        <w:rPr>
          <w:sz w:val="28"/>
          <w:szCs w:val="28"/>
          <w:lang w:eastAsia="en-US"/>
        </w:rPr>
        <w:t> </w:t>
      </w:r>
      <w:r w:rsidRPr="00A52DD9">
        <w:rPr>
          <w:sz w:val="28"/>
          <w:szCs w:val="28"/>
          <w:lang w:eastAsia="en-US"/>
        </w:rPr>
        <w:t>870</w:t>
      </w:r>
      <w:r w:rsidR="005D5C54">
        <w:rPr>
          <w:sz w:val="28"/>
          <w:szCs w:val="28"/>
          <w:lang w:eastAsia="en-US"/>
        </w:rPr>
        <w:t> </w:t>
      </w:r>
      <w:r w:rsidRPr="00A52DD9">
        <w:rPr>
          <w:sz w:val="28"/>
          <w:szCs w:val="28"/>
          <w:lang w:eastAsia="en-US"/>
        </w:rPr>
        <w:t>242</w:t>
      </w:r>
      <w:r w:rsidR="005D5C54">
        <w:rPr>
          <w:sz w:val="28"/>
          <w:szCs w:val="28"/>
          <w:lang w:eastAsia="en-US"/>
        </w:rPr>
        <w:t xml:space="preserve"> </w:t>
      </w:r>
      <w:r w:rsidRPr="00A52DD9">
        <w:rPr>
          <w:sz w:val="28"/>
          <w:szCs w:val="28"/>
          <w:lang w:eastAsia="en-US"/>
        </w:rPr>
        <w:t>рубля</w:t>
      </w:r>
      <w:r w:rsidR="00233B7A">
        <w:rPr>
          <w:sz w:val="28"/>
          <w:szCs w:val="28"/>
          <w:lang w:eastAsia="en-US"/>
        </w:rPr>
        <w:t>.</w:t>
      </w:r>
      <w:r w:rsidRPr="00A52DD9">
        <w:rPr>
          <w:sz w:val="28"/>
          <w:szCs w:val="28"/>
          <w:lang w:eastAsia="en-US"/>
        </w:rPr>
        <w:t xml:space="preserve"> </w:t>
      </w:r>
      <w:r w:rsidR="00233B7A" w:rsidRPr="00233B7A">
        <w:rPr>
          <w:sz w:val="28"/>
          <w:szCs w:val="28"/>
        </w:rPr>
        <w:t>Сметами расходов, утвержденными законами о республиканском бюджете</w:t>
      </w:r>
      <w:r w:rsidR="002B0BE7" w:rsidRPr="00A52DD9">
        <w:rPr>
          <w:sz w:val="28"/>
          <w:szCs w:val="28"/>
        </w:rPr>
        <w:t xml:space="preserve"> на 2021</w:t>
      </w:r>
      <w:r w:rsidR="002B0BE7">
        <w:rPr>
          <w:sz w:val="28"/>
          <w:szCs w:val="28"/>
        </w:rPr>
        <w:t>–</w:t>
      </w:r>
      <w:r w:rsidR="002B0BE7" w:rsidRPr="00A52DD9">
        <w:rPr>
          <w:sz w:val="28"/>
          <w:szCs w:val="28"/>
        </w:rPr>
        <w:t>2025 годы</w:t>
      </w:r>
      <w:r w:rsidR="00114565">
        <w:rPr>
          <w:sz w:val="28"/>
          <w:szCs w:val="28"/>
        </w:rPr>
        <w:t>,</w:t>
      </w:r>
      <w:r w:rsidR="002B0BE7" w:rsidRPr="00A52DD9">
        <w:rPr>
          <w:sz w:val="28"/>
          <w:szCs w:val="28"/>
          <w:lang w:eastAsia="en-US"/>
        </w:rPr>
        <w:t xml:space="preserve"> </w:t>
      </w:r>
      <w:r w:rsidR="00E847DB">
        <w:rPr>
          <w:sz w:val="28"/>
          <w:szCs w:val="28"/>
          <w:lang w:eastAsia="en-US"/>
        </w:rPr>
        <w:t xml:space="preserve">предусмотрена </w:t>
      </w:r>
      <w:r w:rsidRPr="00A52DD9">
        <w:rPr>
          <w:sz w:val="28"/>
          <w:szCs w:val="28"/>
          <w:lang w:eastAsia="en-US"/>
        </w:rPr>
        <w:t xml:space="preserve">сумма 24 316 813 рублей, или </w:t>
      </w:r>
      <w:r w:rsidR="00835940" w:rsidRPr="00A52DD9">
        <w:rPr>
          <w:sz w:val="28"/>
          <w:szCs w:val="28"/>
          <w:lang w:eastAsia="en-US"/>
        </w:rPr>
        <w:t>76,3</w:t>
      </w:r>
      <w:r w:rsidRPr="00A52DD9">
        <w:rPr>
          <w:sz w:val="28"/>
          <w:szCs w:val="28"/>
          <w:lang w:eastAsia="en-US"/>
        </w:rPr>
        <w:t xml:space="preserve"> процент</w:t>
      </w:r>
      <w:r w:rsidR="002B0BE7">
        <w:rPr>
          <w:sz w:val="28"/>
          <w:szCs w:val="28"/>
          <w:lang w:eastAsia="en-US"/>
        </w:rPr>
        <w:t>а</w:t>
      </w:r>
      <w:r w:rsidRPr="00A52DD9">
        <w:rPr>
          <w:sz w:val="28"/>
          <w:szCs w:val="28"/>
          <w:lang w:eastAsia="en-US"/>
        </w:rPr>
        <w:t xml:space="preserve"> от суммы, запланированной по Программе. </w:t>
      </w:r>
      <w:r w:rsidR="00835940" w:rsidRPr="00A52DD9">
        <w:rPr>
          <w:sz w:val="28"/>
          <w:szCs w:val="28"/>
          <w:lang w:eastAsia="en-US"/>
        </w:rPr>
        <w:t xml:space="preserve">За данный период </w:t>
      </w:r>
      <w:r w:rsidR="007A261E" w:rsidRPr="00A52DD9">
        <w:rPr>
          <w:sz w:val="28"/>
          <w:szCs w:val="28"/>
          <w:lang w:eastAsia="en-US"/>
        </w:rPr>
        <w:t>про</w:t>
      </w:r>
      <w:r w:rsidR="00835940" w:rsidRPr="00A52DD9">
        <w:rPr>
          <w:sz w:val="28"/>
          <w:szCs w:val="28"/>
          <w:lang w:eastAsia="en-US"/>
        </w:rPr>
        <w:t>финансирован</w:t>
      </w:r>
      <w:r w:rsidR="007A261E" w:rsidRPr="00A52DD9">
        <w:rPr>
          <w:sz w:val="28"/>
          <w:szCs w:val="28"/>
          <w:lang w:eastAsia="en-US"/>
        </w:rPr>
        <w:t>о</w:t>
      </w:r>
      <w:r w:rsidR="00835940" w:rsidRPr="00A52DD9">
        <w:rPr>
          <w:sz w:val="28"/>
          <w:szCs w:val="28"/>
          <w:lang w:eastAsia="en-US"/>
        </w:rPr>
        <w:t xml:space="preserve"> 20 999 439 рублей, что составило 86,4 процента от суммы, запланированной по смет</w:t>
      </w:r>
      <w:r w:rsidR="00E847DB">
        <w:rPr>
          <w:sz w:val="28"/>
          <w:szCs w:val="28"/>
          <w:lang w:eastAsia="en-US"/>
        </w:rPr>
        <w:t>ам</w:t>
      </w:r>
      <w:r w:rsidR="00835940" w:rsidRPr="00A52DD9">
        <w:rPr>
          <w:sz w:val="28"/>
          <w:szCs w:val="28"/>
          <w:lang w:eastAsia="en-US"/>
        </w:rPr>
        <w:t>.</w:t>
      </w:r>
      <w:r w:rsidR="00FE3288" w:rsidRPr="00A52DD9">
        <w:rPr>
          <w:sz w:val="28"/>
          <w:szCs w:val="28"/>
        </w:rPr>
        <w:t xml:space="preserve"> </w:t>
      </w:r>
      <w:r w:rsidR="00931C38" w:rsidRPr="00A52DD9">
        <w:rPr>
          <w:sz w:val="28"/>
          <w:szCs w:val="28"/>
        </w:rPr>
        <w:t xml:space="preserve">Приобретение </w:t>
      </w:r>
      <w:r w:rsidR="00FE3288" w:rsidRPr="00A52DD9">
        <w:rPr>
          <w:sz w:val="28"/>
          <w:szCs w:val="28"/>
        </w:rPr>
        <w:t>вакцин позволило обеспечить охват иммунизацией детей и взрослых целевого возраста со следующими показателями:</w:t>
      </w:r>
    </w:p>
    <w:p w:rsidR="00FE3288" w:rsidRPr="00A52DD9" w:rsidRDefault="00DF7DAF" w:rsidP="00DF7DAF">
      <w:pPr>
        <w:ind w:firstLine="709"/>
        <w:jc w:val="both"/>
        <w:rPr>
          <w:rFonts w:eastAsia="Calibri"/>
          <w:bCs/>
          <w:sz w:val="28"/>
          <w:szCs w:val="28"/>
          <w:lang w:val="x-none" w:eastAsia="en-US"/>
        </w:rPr>
      </w:pPr>
      <w:r w:rsidRPr="00A52DD9">
        <w:rPr>
          <w:rFonts w:eastAsia="Calibri"/>
          <w:bCs/>
          <w:sz w:val="28"/>
          <w:szCs w:val="28"/>
          <w:lang w:eastAsia="en-US"/>
        </w:rPr>
        <w:t xml:space="preserve">а) </w:t>
      </w:r>
      <w:r w:rsidR="00FE3288" w:rsidRPr="00A52DD9">
        <w:rPr>
          <w:rFonts w:eastAsia="Calibri"/>
          <w:bCs/>
          <w:sz w:val="28"/>
          <w:szCs w:val="28"/>
          <w:lang w:val="x-none" w:eastAsia="en-US"/>
        </w:rPr>
        <w:t>против туберкул</w:t>
      </w:r>
      <w:r w:rsidR="00FE3288" w:rsidRPr="00A52DD9">
        <w:rPr>
          <w:rFonts w:eastAsia="Calibri"/>
          <w:bCs/>
          <w:sz w:val="28"/>
          <w:szCs w:val="28"/>
          <w:lang w:eastAsia="en-US"/>
        </w:rPr>
        <w:t>е</w:t>
      </w:r>
      <w:r w:rsidR="00FE3288" w:rsidRPr="00A52DD9">
        <w:rPr>
          <w:rFonts w:eastAsia="Calibri"/>
          <w:bCs/>
          <w:sz w:val="28"/>
          <w:szCs w:val="28"/>
          <w:lang w:val="x-none" w:eastAsia="en-US"/>
        </w:rPr>
        <w:t xml:space="preserve">за </w:t>
      </w:r>
      <w:r w:rsidR="00FE3288" w:rsidRPr="00A52DD9">
        <w:rPr>
          <w:sz w:val="28"/>
          <w:szCs w:val="28"/>
        </w:rPr>
        <w:t>(БЦ</w:t>
      </w:r>
      <w:r w:rsidR="0094235D">
        <w:rPr>
          <w:sz w:val="28"/>
          <w:szCs w:val="28"/>
        </w:rPr>
        <w:t>Ж – вакцина против туберкуле</w:t>
      </w:r>
      <w:r w:rsidR="00DB19DE" w:rsidRPr="00A52DD9">
        <w:rPr>
          <w:sz w:val="28"/>
          <w:szCs w:val="28"/>
        </w:rPr>
        <w:t xml:space="preserve">за) </w:t>
      </w:r>
      <w:r w:rsidR="003C1CD6" w:rsidRPr="00A52DD9">
        <w:rPr>
          <w:sz w:val="28"/>
          <w:szCs w:val="28"/>
        </w:rPr>
        <w:t xml:space="preserve">среди </w:t>
      </w:r>
      <w:r w:rsidR="00FE3288" w:rsidRPr="00A52DD9">
        <w:rPr>
          <w:rFonts w:eastAsia="Calibri"/>
          <w:bCs/>
          <w:sz w:val="28"/>
          <w:szCs w:val="28"/>
          <w:lang w:val="x-none" w:eastAsia="en-US"/>
        </w:rPr>
        <w:t xml:space="preserve">детей целевого возраста </w:t>
      </w:r>
      <w:r w:rsidR="002E4D80" w:rsidRPr="00A52DD9">
        <w:rPr>
          <w:rFonts w:eastAsia="Calibri"/>
          <w:bCs/>
          <w:sz w:val="28"/>
          <w:szCs w:val="28"/>
          <w:lang w:eastAsia="en-US"/>
        </w:rPr>
        <w:t>до 1 (</w:t>
      </w:r>
      <w:r w:rsidR="00FE3288" w:rsidRPr="00A52DD9">
        <w:rPr>
          <w:rFonts w:eastAsia="Calibri"/>
          <w:bCs/>
          <w:sz w:val="28"/>
          <w:szCs w:val="28"/>
          <w:lang w:val="x-none" w:eastAsia="en-US"/>
        </w:rPr>
        <w:t>одного</w:t>
      </w:r>
      <w:r w:rsidR="002E4D80" w:rsidRPr="00A52DD9">
        <w:rPr>
          <w:rFonts w:eastAsia="Calibri"/>
          <w:bCs/>
          <w:sz w:val="28"/>
          <w:szCs w:val="28"/>
          <w:lang w:eastAsia="en-US"/>
        </w:rPr>
        <w:t>)</w:t>
      </w:r>
      <w:r w:rsidR="007A261E" w:rsidRPr="00A52DD9">
        <w:rPr>
          <w:rFonts w:eastAsia="Calibri"/>
          <w:bCs/>
          <w:sz w:val="28"/>
          <w:szCs w:val="28"/>
          <w:lang w:val="x-none" w:eastAsia="en-US"/>
        </w:rPr>
        <w:t xml:space="preserve"> года</w:t>
      </w:r>
      <w:r w:rsidR="00DB19DE" w:rsidRPr="00A52DD9">
        <w:rPr>
          <w:rFonts w:eastAsia="Calibri"/>
          <w:bCs/>
          <w:sz w:val="28"/>
          <w:szCs w:val="28"/>
          <w:lang w:eastAsia="en-US"/>
        </w:rPr>
        <w:t>: 2021 год – 94,1 процент</w:t>
      </w:r>
      <w:r w:rsidR="003C1CD6" w:rsidRPr="00A52DD9">
        <w:rPr>
          <w:rFonts w:eastAsia="Calibri"/>
          <w:bCs/>
          <w:sz w:val="28"/>
          <w:szCs w:val="28"/>
          <w:lang w:eastAsia="en-US"/>
        </w:rPr>
        <w:t>а</w:t>
      </w:r>
      <w:r w:rsidR="00DB19DE" w:rsidRPr="00A52DD9">
        <w:rPr>
          <w:rFonts w:eastAsia="Calibri"/>
          <w:bCs/>
          <w:sz w:val="28"/>
          <w:szCs w:val="28"/>
          <w:lang w:eastAsia="en-US"/>
        </w:rPr>
        <w:t xml:space="preserve">, 2022 год – </w:t>
      </w:r>
      <w:r w:rsidR="005D5C54">
        <w:rPr>
          <w:rFonts w:eastAsia="Calibri"/>
          <w:bCs/>
          <w:sz w:val="28"/>
          <w:szCs w:val="28"/>
          <w:lang w:eastAsia="en-US"/>
        </w:rPr>
        <w:br/>
      </w:r>
      <w:r w:rsidR="00DB19DE" w:rsidRPr="00A52DD9">
        <w:rPr>
          <w:rFonts w:eastAsia="Calibri"/>
          <w:bCs/>
          <w:sz w:val="28"/>
          <w:szCs w:val="28"/>
          <w:lang w:eastAsia="en-US"/>
        </w:rPr>
        <w:t>95,5 процент</w:t>
      </w:r>
      <w:r w:rsidR="003C1CD6" w:rsidRPr="00A52DD9">
        <w:rPr>
          <w:rFonts w:eastAsia="Calibri"/>
          <w:bCs/>
          <w:sz w:val="28"/>
          <w:szCs w:val="28"/>
          <w:lang w:eastAsia="en-US"/>
        </w:rPr>
        <w:t>а</w:t>
      </w:r>
      <w:r w:rsidR="00DB19DE" w:rsidRPr="00A52DD9">
        <w:rPr>
          <w:rFonts w:eastAsia="Calibri"/>
          <w:bCs/>
          <w:sz w:val="28"/>
          <w:szCs w:val="28"/>
          <w:lang w:eastAsia="en-US"/>
        </w:rPr>
        <w:t>, 2023 год – 95,6 процента, 2024 год –</w:t>
      </w:r>
      <w:r w:rsidR="00773ABB">
        <w:rPr>
          <w:rFonts w:eastAsia="Calibri"/>
          <w:bCs/>
          <w:sz w:val="28"/>
          <w:szCs w:val="28"/>
          <w:lang w:eastAsia="en-US"/>
        </w:rPr>
        <w:t xml:space="preserve"> </w:t>
      </w:r>
      <w:r w:rsidR="00FE3288" w:rsidRPr="00A52DD9">
        <w:rPr>
          <w:rFonts w:eastAsia="Calibri"/>
          <w:bCs/>
          <w:sz w:val="28"/>
          <w:szCs w:val="28"/>
          <w:lang w:val="x-none" w:eastAsia="en-US"/>
        </w:rPr>
        <w:t>95,</w:t>
      </w:r>
      <w:r w:rsidR="00FE3288" w:rsidRPr="00A52DD9">
        <w:rPr>
          <w:rFonts w:eastAsia="Calibri"/>
          <w:bCs/>
          <w:sz w:val="28"/>
          <w:szCs w:val="28"/>
          <w:lang w:eastAsia="en-US"/>
        </w:rPr>
        <w:t>3</w:t>
      </w:r>
      <w:r w:rsidR="00393218" w:rsidRPr="00A52DD9">
        <w:rPr>
          <w:sz w:val="28"/>
          <w:szCs w:val="28"/>
        </w:rPr>
        <w:t xml:space="preserve"> процента</w:t>
      </w:r>
      <w:r w:rsidR="00DB19DE" w:rsidRPr="00A52DD9">
        <w:rPr>
          <w:sz w:val="28"/>
          <w:szCs w:val="28"/>
        </w:rPr>
        <w:t>, 2025 год – 94,5 процента</w:t>
      </w:r>
      <w:r w:rsidR="00A22168" w:rsidRPr="00A52DD9">
        <w:rPr>
          <w:sz w:val="28"/>
          <w:szCs w:val="28"/>
        </w:rPr>
        <w:t>;</w:t>
      </w:r>
    </w:p>
    <w:p w:rsidR="00FE3288" w:rsidRPr="00A52DD9" w:rsidRDefault="00DF7DAF" w:rsidP="00DF7DAF">
      <w:pPr>
        <w:ind w:firstLine="709"/>
        <w:jc w:val="both"/>
        <w:rPr>
          <w:rFonts w:eastAsia="Calibri"/>
          <w:bCs/>
          <w:sz w:val="28"/>
          <w:szCs w:val="28"/>
          <w:lang w:eastAsia="en-US"/>
        </w:rPr>
      </w:pPr>
      <w:r w:rsidRPr="00A52DD9">
        <w:rPr>
          <w:rFonts w:eastAsia="Calibri"/>
          <w:bCs/>
          <w:sz w:val="28"/>
          <w:szCs w:val="28"/>
          <w:lang w:eastAsia="en-US"/>
        </w:rPr>
        <w:t xml:space="preserve">б) </w:t>
      </w:r>
      <w:r w:rsidR="00FE3288" w:rsidRPr="00A52DD9">
        <w:rPr>
          <w:rFonts w:eastAsia="Calibri"/>
          <w:bCs/>
          <w:sz w:val="28"/>
          <w:szCs w:val="28"/>
          <w:lang w:val="x-none" w:eastAsia="en-US"/>
        </w:rPr>
        <w:t xml:space="preserve">против вирусного гепатита В детей в возрасте </w:t>
      </w:r>
      <w:r w:rsidR="002E4D80" w:rsidRPr="00A52DD9">
        <w:rPr>
          <w:rFonts w:eastAsia="Calibri"/>
          <w:bCs/>
          <w:sz w:val="28"/>
          <w:szCs w:val="28"/>
          <w:lang w:eastAsia="en-US"/>
        </w:rPr>
        <w:t>до</w:t>
      </w:r>
      <w:r w:rsidR="002D2434" w:rsidRPr="00A52DD9">
        <w:rPr>
          <w:rFonts w:eastAsia="Calibri"/>
          <w:bCs/>
          <w:sz w:val="28"/>
          <w:szCs w:val="28"/>
          <w:lang w:eastAsia="en-US"/>
        </w:rPr>
        <w:t xml:space="preserve"> </w:t>
      </w:r>
      <w:r w:rsidR="00CF3DA9" w:rsidRPr="00A52DD9">
        <w:rPr>
          <w:rFonts w:eastAsia="Calibri"/>
          <w:bCs/>
          <w:sz w:val="28"/>
          <w:szCs w:val="28"/>
          <w:lang w:eastAsia="en-US"/>
        </w:rPr>
        <w:t>1</w:t>
      </w:r>
      <w:r w:rsidR="002E4D80" w:rsidRPr="00A52DD9">
        <w:rPr>
          <w:rFonts w:eastAsia="Calibri"/>
          <w:bCs/>
          <w:sz w:val="28"/>
          <w:szCs w:val="28"/>
          <w:lang w:eastAsia="en-US"/>
        </w:rPr>
        <w:t xml:space="preserve"> </w:t>
      </w:r>
      <w:r w:rsidR="00CF3DA9" w:rsidRPr="00A52DD9">
        <w:rPr>
          <w:rFonts w:eastAsia="Calibri"/>
          <w:bCs/>
          <w:sz w:val="28"/>
          <w:szCs w:val="28"/>
          <w:lang w:eastAsia="en-US"/>
        </w:rPr>
        <w:t>(</w:t>
      </w:r>
      <w:r w:rsidR="00FE3288" w:rsidRPr="00A52DD9">
        <w:rPr>
          <w:rFonts w:eastAsia="Calibri"/>
          <w:bCs/>
          <w:sz w:val="28"/>
          <w:szCs w:val="28"/>
          <w:lang w:val="x-none" w:eastAsia="en-US"/>
        </w:rPr>
        <w:t>одного</w:t>
      </w:r>
      <w:r w:rsidR="00CF3DA9" w:rsidRPr="00A52DD9">
        <w:rPr>
          <w:rFonts w:eastAsia="Calibri"/>
          <w:bCs/>
          <w:sz w:val="28"/>
          <w:szCs w:val="28"/>
          <w:lang w:eastAsia="en-US"/>
        </w:rPr>
        <w:t>)</w:t>
      </w:r>
      <w:r w:rsidR="00FE3288" w:rsidRPr="00A52DD9">
        <w:rPr>
          <w:rFonts w:eastAsia="Calibri"/>
          <w:bCs/>
          <w:sz w:val="28"/>
          <w:szCs w:val="28"/>
          <w:lang w:val="x-none" w:eastAsia="en-US"/>
        </w:rPr>
        <w:t xml:space="preserve"> </w:t>
      </w:r>
      <w:r w:rsidR="007A261E" w:rsidRPr="00A52DD9">
        <w:rPr>
          <w:rFonts w:eastAsia="Calibri"/>
          <w:bCs/>
          <w:sz w:val="28"/>
          <w:szCs w:val="28"/>
          <w:lang w:val="x-none" w:eastAsia="en-US"/>
        </w:rPr>
        <w:t>года</w:t>
      </w:r>
      <w:r w:rsidR="007A261E" w:rsidRPr="00A52DD9">
        <w:rPr>
          <w:rFonts w:eastAsia="Calibri"/>
          <w:bCs/>
          <w:sz w:val="28"/>
          <w:szCs w:val="28"/>
          <w:lang w:eastAsia="en-US"/>
        </w:rPr>
        <w:t>:</w:t>
      </w:r>
      <w:r w:rsidR="00773ABB">
        <w:rPr>
          <w:rFonts w:eastAsia="Calibri"/>
          <w:bCs/>
          <w:sz w:val="28"/>
          <w:szCs w:val="28"/>
          <w:lang w:eastAsia="en-US"/>
        </w:rPr>
        <w:t xml:space="preserve"> </w:t>
      </w:r>
      <w:r w:rsidR="005D5C54">
        <w:rPr>
          <w:rFonts w:eastAsia="Calibri"/>
          <w:bCs/>
          <w:sz w:val="28"/>
          <w:szCs w:val="28"/>
          <w:lang w:eastAsia="en-US"/>
        </w:rPr>
        <w:br/>
      </w:r>
      <w:r w:rsidR="002D2434" w:rsidRPr="00A52DD9">
        <w:rPr>
          <w:rFonts w:eastAsia="Calibri"/>
          <w:bCs/>
          <w:sz w:val="28"/>
          <w:szCs w:val="28"/>
          <w:lang w:eastAsia="en-US"/>
        </w:rPr>
        <w:t>2021 год – 73,1 процента, 2022 год – 83,1 процента,</w:t>
      </w:r>
      <w:r w:rsidR="00773ABB">
        <w:rPr>
          <w:rFonts w:eastAsia="Calibri"/>
          <w:bCs/>
          <w:sz w:val="28"/>
          <w:szCs w:val="28"/>
          <w:lang w:eastAsia="en-US"/>
        </w:rPr>
        <w:t xml:space="preserve"> </w:t>
      </w:r>
      <w:r w:rsidR="002D2434" w:rsidRPr="00A52DD9">
        <w:rPr>
          <w:rFonts w:eastAsia="Calibri"/>
          <w:bCs/>
          <w:sz w:val="28"/>
          <w:szCs w:val="28"/>
          <w:lang w:eastAsia="en-US"/>
        </w:rPr>
        <w:t>2023 год – 80,2 процента, 2024 год –</w:t>
      </w:r>
      <w:r w:rsidR="00773ABB">
        <w:rPr>
          <w:rFonts w:eastAsia="Calibri"/>
          <w:bCs/>
          <w:sz w:val="28"/>
          <w:szCs w:val="28"/>
          <w:lang w:eastAsia="en-US"/>
        </w:rPr>
        <w:t xml:space="preserve"> </w:t>
      </w:r>
      <w:r w:rsidR="002D2434" w:rsidRPr="00A52DD9">
        <w:rPr>
          <w:rFonts w:eastAsia="Calibri"/>
          <w:bCs/>
          <w:sz w:val="28"/>
          <w:szCs w:val="28"/>
          <w:lang w:eastAsia="en-US"/>
        </w:rPr>
        <w:t>80</w:t>
      </w:r>
      <w:r w:rsidR="002D2434" w:rsidRPr="00A52DD9">
        <w:rPr>
          <w:rFonts w:eastAsia="Calibri"/>
          <w:bCs/>
          <w:sz w:val="28"/>
          <w:szCs w:val="28"/>
          <w:lang w:val="x-none" w:eastAsia="en-US"/>
        </w:rPr>
        <w:t>,</w:t>
      </w:r>
      <w:r w:rsidR="002D2434" w:rsidRPr="00A52DD9">
        <w:rPr>
          <w:rFonts w:eastAsia="Calibri"/>
          <w:bCs/>
          <w:sz w:val="28"/>
          <w:szCs w:val="28"/>
          <w:lang w:eastAsia="en-US"/>
        </w:rPr>
        <w:t>7</w:t>
      </w:r>
      <w:r w:rsidR="002D2434" w:rsidRPr="00A52DD9">
        <w:rPr>
          <w:sz w:val="28"/>
          <w:szCs w:val="28"/>
        </w:rPr>
        <w:t xml:space="preserve"> процента, 2025 год – 73,5 процента</w:t>
      </w:r>
      <w:r w:rsidR="00FE3288" w:rsidRPr="00A52DD9">
        <w:rPr>
          <w:rFonts w:eastAsia="Calibri"/>
          <w:bCs/>
          <w:sz w:val="28"/>
          <w:szCs w:val="28"/>
          <w:lang w:eastAsia="en-US"/>
        </w:rPr>
        <w:t>;</w:t>
      </w:r>
    </w:p>
    <w:p w:rsidR="0096793C" w:rsidRPr="00A52DD9" w:rsidRDefault="00DF7DAF" w:rsidP="007229F0">
      <w:pPr>
        <w:ind w:firstLine="709"/>
        <w:jc w:val="both"/>
        <w:rPr>
          <w:rFonts w:eastAsia="Calibri"/>
          <w:bCs/>
          <w:sz w:val="28"/>
          <w:szCs w:val="28"/>
          <w:lang w:val="x-none" w:eastAsia="en-US"/>
        </w:rPr>
      </w:pPr>
      <w:r w:rsidRPr="00A52DD9">
        <w:rPr>
          <w:rFonts w:eastAsia="Calibri"/>
          <w:bCs/>
          <w:sz w:val="28"/>
          <w:szCs w:val="28"/>
          <w:lang w:eastAsia="en-US"/>
        </w:rPr>
        <w:t>в</w:t>
      </w:r>
      <w:r w:rsidR="00FE3288" w:rsidRPr="00A52DD9">
        <w:rPr>
          <w:rFonts w:eastAsia="Calibri"/>
          <w:bCs/>
          <w:sz w:val="28"/>
          <w:szCs w:val="28"/>
          <w:lang w:eastAsia="en-US"/>
        </w:rPr>
        <w:t>)</w:t>
      </w:r>
      <w:r w:rsidR="00FE3288" w:rsidRPr="00A52DD9">
        <w:rPr>
          <w:rFonts w:eastAsia="Calibri"/>
          <w:bCs/>
          <w:sz w:val="28"/>
          <w:szCs w:val="28"/>
          <w:lang w:val="x-none" w:eastAsia="en-US"/>
        </w:rPr>
        <w:t xml:space="preserve"> против полиомиелита детей в возрасте</w:t>
      </w:r>
      <w:r w:rsidR="002E4D80" w:rsidRPr="00A52DD9">
        <w:rPr>
          <w:rFonts w:eastAsia="Calibri"/>
          <w:bCs/>
          <w:sz w:val="28"/>
          <w:szCs w:val="28"/>
          <w:lang w:eastAsia="en-US"/>
        </w:rPr>
        <w:t xml:space="preserve"> до</w:t>
      </w:r>
      <w:r w:rsidR="00FE3288" w:rsidRPr="00A52DD9">
        <w:rPr>
          <w:rFonts w:eastAsia="Calibri"/>
          <w:bCs/>
          <w:sz w:val="28"/>
          <w:szCs w:val="28"/>
          <w:lang w:val="x-none" w:eastAsia="en-US"/>
        </w:rPr>
        <w:t xml:space="preserve"> </w:t>
      </w:r>
      <w:r w:rsidR="002E4D80" w:rsidRPr="00A52DD9">
        <w:rPr>
          <w:rFonts w:eastAsia="Calibri"/>
          <w:bCs/>
          <w:sz w:val="28"/>
          <w:szCs w:val="28"/>
          <w:lang w:eastAsia="en-US"/>
        </w:rPr>
        <w:t>1 (</w:t>
      </w:r>
      <w:r w:rsidR="00FE3288" w:rsidRPr="00A52DD9">
        <w:rPr>
          <w:rFonts w:eastAsia="Calibri"/>
          <w:bCs/>
          <w:sz w:val="28"/>
          <w:szCs w:val="28"/>
          <w:lang w:val="x-none" w:eastAsia="en-US"/>
        </w:rPr>
        <w:t>одного</w:t>
      </w:r>
      <w:r w:rsidR="002E4D80" w:rsidRPr="00A52DD9">
        <w:rPr>
          <w:rFonts w:eastAsia="Calibri"/>
          <w:bCs/>
          <w:sz w:val="28"/>
          <w:szCs w:val="28"/>
          <w:lang w:eastAsia="en-US"/>
        </w:rPr>
        <w:t>)</w:t>
      </w:r>
      <w:r w:rsidR="00FE3288" w:rsidRPr="00A52DD9">
        <w:rPr>
          <w:rFonts w:eastAsia="Calibri"/>
          <w:bCs/>
          <w:sz w:val="28"/>
          <w:szCs w:val="28"/>
          <w:lang w:val="x-none" w:eastAsia="en-US"/>
        </w:rPr>
        <w:t xml:space="preserve"> го</w:t>
      </w:r>
      <w:r w:rsidR="007A261E" w:rsidRPr="00A52DD9">
        <w:rPr>
          <w:rFonts w:eastAsia="Calibri"/>
          <w:bCs/>
          <w:sz w:val="28"/>
          <w:szCs w:val="28"/>
          <w:lang w:val="x-none" w:eastAsia="en-US"/>
        </w:rPr>
        <w:t>да</w:t>
      </w:r>
      <w:r w:rsidR="002D2434" w:rsidRPr="00A52DD9">
        <w:rPr>
          <w:rFonts w:eastAsia="Calibri"/>
          <w:bCs/>
          <w:sz w:val="28"/>
          <w:szCs w:val="28"/>
          <w:lang w:eastAsia="en-US"/>
        </w:rPr>
        <w:t>:</w:t>
      </w:r>
      <w:r w:rsidR="002D2434" w:rsidRPr="00A52DD9">
        <w:rPr>
          <w:sz w:val="28"/>
          <w:szCs w:val="28"/>
        </w:rPr>
        <w:t xml:space="preserve"> </w:t>
      </w:r>
      <w:r w:rsidR="002D2434" w:rsidRPr="00A52DD9">
        <w:rPr>
          <w:rFonts w:eastAsia="Calibri"/>
          <w:bCs/>
          <w:sz w:val="28"/>
          <w:szCs w:val="28"/>
          <w:lang w:eastAsia="en-US"/>
        </w:rPr>
        <w:t>2021 год – 67,0 процента, 2022 год – 79,6 процента, 2023 год – 79,4 процента, 2024 год –</w:t>
      </w:r>
      <w:r w:rsidR="00773ABB">
        <w:rPr>
          <w:rFonts w:eastAsia="Calibri"/>
          <w:bCs/>
          <w:sz w:val="28"/>
          <w:szCs w:val="28"/>
          <w:lang w:eastAsia="en-US"/>
        </w:rPr>
        <w:t xml:space="preserve"> </w:t>
      </w:r>
      <w:r w:rsidR="002D2434" w:rsidRPr="00A52DD9">
        <w:rPr>
          <w:rFonts w:eastAsia="Calibri"/>
          <w:bCs/>
          <w:sz w:val="28"/>
          <w:szCs w:val="28"/>
          <w:lang w:eastAsia="en-US"/>
        </w:rPr>
        <w:t>78,6 процента, 2025 год – 73,5 процента;</w:t>
      </w:r>
      <w:r w:rsidR="00FE3288" w:rsidRPr="00A52DD9">
        <w:rPr>
          <w:rFonts w:eastAsia="Calibri"/>
          <w:bCs/>
          <w:sz w:val="28"/>
          <w:szCs w:val="28"/>
          <w:lang w:val="x-none" w:eastAsia="en-US"/>
        </w:rPr>
        <w:t xml:space="preserve"> I ревакцинаци</w:t>
      </w:r>
      <w:r w:rsidR="0096793C" w:rsidRPr="00A52DD9">
        <w:rPr>
          <w:rFonts w:eastAsia="Calibri"/>
          <w:bCs/>
          <w:sz w:val="28"/>
          <w:szCs w:val="28"/>
          <w:lang w:eastAsia="en-US"/>
        </w:rPr>
        <w:t>ей</w:t>
      </w:r>
      <w:r w:rsidR="002D2434" w:rsidRPr="00A52DD9">
        <w:rPr>
          <w:rFonts w:eastAsia="Calibri"/>
          <w:bCs/>
          <w:sz w:val="28"/>
          <w:szCs w:val="28"/>
          <w:lang w:eastAsia="en-US"/>
        </w:rPr>
        <w:t xml:space="preserve"> детей</w:t>
      </w:r>
      <w:r w:rsidR="00FE3288" w:rsidRPr="00A52DD9">
        <w:rPr>
          <w:rFonts w:eastAsia="Calibri"/>
          <w:bCs/>
          <w:sz w:val="28"/>
          <w:szCs w:val="28"/>
          <w:lang w:val="x-none" w:eastAsia="en-US"/>
        </w:rPr>
        <w:t xml:space="preserve"> в возрасте</w:t>
      </w:r>
      <w:r w:rsidR="002E4D80" w:rsidRPr="00A52DD9">
        <w:rPr>
          <w:rFonts w:eastAsia="Calibri"/>
          <w:bCs/>
          <w:sz w:val="28"/>
          <w:szCs w:val="28"/>
          <w:lang w:eastAsia="en-US"/>
        </w:rPr>
        <w:t xml:space="preserve"> </w:t>
      </w:r>
      <w:r w:rsidR="005D5C54">
        <w:rPr>
          <w:rFonts w:eastAsia="Calibri"/>
          <w:bCs/>
          <w:sz w:val="28"/>
          <w:szCs w:val="28"/>
          <w:lang w:eastAsia="en-US"/>
        </w:rPr>
        <w:br/>
      </w:r>
      <w:r w:rsidR="002E4D80" w:rsidRPr="00A52DD9">
        <w:rPr>
          <w:rFonts w:eastAsia="Calibri"/>
          <w:bCs/>
          <w:sz w:val="28"/>
          <w:szCs w:val="28"/>
          <w:lang w:eastAsia="en-US"/>
        </w:rPr>
        <w:t>до</w:t>
      </w:r>
      <w:r w:rsidR="00773ABB">
        <w:rPr>
          <w:rFonts w:eastAsia="Calibri"/>
          <w:bCs/>
          <w:sz w:val="28"/>
          <w:szCs w:val="28"/>
          <w:lang w:eastAsia="en-US"/>
        </w:rPr>
        <w:t xml:space="preserve"> </w:t>
      </w:r>
      <w:r w:rsidR="002D2434" w:rsidRPr="00A52DD9">
        <w:rPr>
          <w:rFonts w:eastAsia="Calibri"/>
          <w:bCs/>
          <w:sz w:val="28"/>
          <w:szCs w:val="28"/>
          <w:lang w:eastAsia="en-US"/>
        </w:rPr>
        <w:t>2</w:t>
      </w:r>
      <w:r w:rsidR="002E4D80" w:rsidRPr="00A52DD9">
        <w:rPr>
          <w:rFonts w:eastAsia="Calibri"/>
          <w:bCs/>
          <w:sz w:val="28"/>
          <w:szCs w:val="28"/>
          <w:lang w:eastAsia="en-US"/>
        </w:rPr>
        <w:t xml:space="preserve"> (</w:t>
      </w:r>
      <w:r w:rsidR="002D2434" w:rsidRPr="00A52DD9">
        <w:rPr>
          <w:rFonts w:eastAsia="Calibri"/>
          <w:bCs/>
          <w:sz w:val="28"/>
          <w:szCs w:val="28"/>
          <w:lang w:eastAsia="en-US"/>
        </w:rPr>
        <w:t>двух</w:t>
      </w:r>
      <w:r w:rsidR="002E4D80" w:rsidRPr="00A52DD9">
        <w:rPr>
          <w:rFonts w:eastAsia="Calibri"/>
          <w:bCs/>
          <w:sz w:val="28"/>
          <w:szCs w:val="28"/>
          <w:lang w:eastAsia="en-US"/>
        </w:rPr>
        <w:t>)</w:t>
      </w:r>
      <w:r w:rsidR="00FE3288" w:rsidRPr="00A52DD9">
        <w:rPr>
          <w:rFonts w:eastAsia="Calibri"/>
          <w:bCs/>
          <w:sz w:val="28"/>
          <w:szCs w:val="28"/>
          <w:lang w:val="x-none" w:eastAsia="en-US"/>
        </w:rPr>
        <w:t xml:space="preserve"> лет</w:t>
      </w:r>
      <w:r w:rsidR="002D2434" w:rsidRPr="00A52DD9">
        <w:rPr>
          <w:rFonts w:eastAsia="Calibri"/>
          <w:bCs/>
          <w:sz w:val="28"/>
          <w:szCs w:val="28"/>
          <w:lang w:val="x-none" w:eastAsia="en-US"/>
        </w:rPr>
        <w:t xml:space="preserve">: 2021 год – </w:t>
      </w:r>
      <w:r w:rsidR="001C209D" w:rsidRPr="00A52DD9">
        <w:rPr>
          <w:rFonts w:eastAsia="Calibri"/>
          <w:bCs/>
          <w:sz w:val="28"/>
          <w:szCs w:val="28"/>
          <w:lang w:eastAsia="en-US"/>
        </w:rPr>
        <w:t>61,9</w:t>
      </w:r>
      <w:r w:rsidR="002D2434" w:rsidRPr="00A52DD9">
        <w:rPr>
          <w:rFonts w:eastAsia="Calibri"/>
          <w:bCs/>
          <w:sz w:val="28"/>
          <w:szCs w:val="28"/>
          <w:lang w:val="x-none" w:eastAsia="en-US"/>
        </w:rPr>
        <w:t xml:space="preserve"> процента, 2022 год – </w:t>
      </w:r>
      <w:r w:rsidR="001C209D" w:rsidRPr="00A52DD9">
        <w:rPr>
          <w:rFonts w:eastAsia="Calibri"/>
          <w:bCs/>
          <w:sz w:val="28"/>
          <w:szCs w:val="28"/>
          <w:lang w:eastAsia="en-US"/>
        </w:rPr>
        <w:t>56,5</w:t>
      </w:r>
      <w:r w:rsidR="002D2434" w:rsidRPr="00A52DD9">
        <w:rPr>
          <w:rFonts w:eastAsia="Calibri"/>
          <w:bCs/>
          <w:sz w:val="28"/>
          <w:szCs w:val="28"/>
          <w:lang w:val="x-none" w:eastAsia="en-US"/>
        </w:rPr>
        <w:t xml:space="preserve"> процента, 2023 год – </w:t>
      </w:r>
      <w:r w:rsidR="001C209D" w:rsidRPr="00A52DD9">
        <w:rPr>
          <w:rFonts w:eastAsia="Calibri"/>
          <w:bCs/>
          <w:sz w:val="28"/>
          <w:szCs w:val="28"/>
          <w:lang w:eastAsia="en-US"/>
        </w:rPr>
        <w:t>61,0</w:t>
      </w:r>
      <w:r w:rsidR="002D2434" w:rsidRPr="00A52DD9">
        <w:rPr>
          <w:rFonts w:eastAsia="Calibri"/>
          <w:bCs/>
          <w:sz w:val="28"/>
          <w:szCs w:val="28"/>
          <w:lang w:val="x-none" w:eastAsia="en-US"/>
        </w:rPr>
        <w:t xml:space="preserve"> процента, 2024 год –</w:t>
      </w:r>
      <w:r w:rsidR="00773ABB">
        <w:rPr>
          <w:rFonts w:eastAsia="Calibri"/>
          <w:bCs/>
          <w:sz w:val="28"/>
          <w:szCs w:val="28"/>
          <w:lang w:val="x-none" w:eastAsia="en-US"/>
        </w:rPr>
        <w:t xml:space="preserve"> </w:t>
      </w:r>
      <w:r w:rsidR="001C209D" w:rsidRPr="00A52DD9">
        <w:rPr>
          <w:rFonts w:eastAsia="Calibri"/>
          <w:bCs/>
          <w:sz w:val="28"/>
          <w:szCs w:val="28"/>
          <w:lang w:eastAsia="en-US"/>
        </w:rPr>
        <w:t>61,2</w:t>
      </w:r>
      <w:r w:rsidR="002D2434" w:rsidRPr="00A52DD9">
        <w:rPr>
          <w:rFonts w:eastAsia="Calibri"/>
          <w:bCs/>
          <w:sz w:val="28"/>
          <w:szCs w:val="28"/>
          <w:lang w:val="x-none" w:eastAsia="en-US"/>
        </w:rPr>
        <w:t xml:space="preserve"> процента, 2025 год – </w:t>
      </w:r>
      <w:r w:rsidR="001C209D" w:rsidRPr="00A52DD9">
        <w:rPr>
          <w:rFonts w:eastAsia="Calibri"/>
          <w:bCs/>
          <w:sz w:val="28"/>
          <w:szCs w:val="28"/>
          <w:lang w:eastAsia="en-US"/>
        </w:rPr>
        <w:t>57,4</w:t>
      </w:r>
      <w:r w:rsidR="002D2434" w:rsidRPr="00A52DD9">
        <w:rPr>
          <w:rFonts w:eastAsia="Calibri"/>
          <w:bCs/>
          <w:sz w:val="28"/>
          <w:szCs w:val="28"/>
          <w:lang w:val="x-none" w:eastAsia="en-US"/>
        </w:rPr>
        <w:t xml:space="preserve"> процента;</w:t>
      </w:r>
      <w:r w:rsidR="00773ABB">
        <w:rPr>
          <w:rFonts w:eastAsia="Calibri"/>
          <w:bCs/>
          <w:sz w:val="28"/>
          <w:szCs w:val="28"/>
          <w:lang w:eastAsia="en-US"/>
        </w:rPr>
        <w:t xml:space="preserve"> </w:t>
      </w:r>
      <w:r w:rsidR="005D5C54">
        <w:rPr>
          <w:rFonts w:eastAsia="Calibri"/>
          <w:bCs/>
          <w:sz w:val="28"/>
          <w:szCs w:val="28"/>
          <w:lang w:eastAsia="en-US"/>
        </w:rPr>
        <w:br/>
      </w:r>
      <w:r w:rsidR="00FE3288" w:rsidRPr="00A52DD9">
        <w:rPr>
          <w:rFonts w:eastAsia="Calibri"/>
          <w:bCs/>
          <w:sz w:val="28"/>
          <w:szCs w:val="28"/>
          <w:lang w:val="x-none" w:eastAsia="en-US"/>
        </w:rPr>
        <w:t>II</w:t>
      </w:r>
      <w:r w:rsidR="001C209D" w:rsidRPr="00A52DD9">
        <w:rPr>
          <w:rFonts w:eastAsia="Calibri"/>
          <w:bCs/>
          <w:sz w:val="28"/>
          <w:szCs w:val="28"/>
          <w:lang w:eastAsia="en-US"/>
        </w:rPr>
        <w:t xml:space="preserve"> </w:t>
      </w:r>
      <w:r w:rsidR="00FE3288" w:rsidRPr="00A52DD9">
        <w:rPr>
          <w:rFonts w:eastAsia="Calibri"/>
          <w:bCs/>
          <w:sz w:val="28"/>
          <w:szCs w:val="28"/>
          <w:lang w:val="x-none" w:eastAsia="en-US"/>
        </w:rPr>
        <w:t>ревакцинаци</w:t>
      </w:r>
      <w:r w:rsidR="001C209D" w:rsidRPr="00A52DD9">
        <w:rPr>
          <w:rFonts w:eastAsia="Calibri"/>
          <w:bCs/>
          <w:sz w:val="28"/>
          <w:szCs w:val="28"/>
          <w:lang w:eastAsia="en-US"/>
        </w:rPr>
        <w:t>ей</w:t>
      </w:r>
      <w:r w:rsidR="00FE3288" w:rsidRPr="00A52DD9">
        <w:rPr>
          <w:rFonts w:eastAsia="Calibri"/>
          <w:bCs/>
          <w:sz w:val="28"/>
          <w:szCs w:val="28"/>
          <w:lang w:val="x-none" w:eastAsia="en-US"/>
        </w:rPr>
        <w:t xml:space="preserve"> детей в возрасте </w:t>
      </w:r>
      <w:r w:rsidR="002E4D80" w:rsidRPr="00A52DD9">
        <w:rPr>
          <w:rFonts w:eastAsia="Calibri"/>
          <w:bCs/>
          <w:sz w:val="28"/>
          <w:szCs w:val="28"/>
          <w:lang w:eastAsia="en-US"/>
        </w:rPr>
        <w:t xml:space="preserve">до </w:t>
      </w:r>
      <w:r w:rsidR="00FE3288" w:rsidRPr="00A52DD9">
        <w:rPr>
          <w:rFonts w:eastAsia="Calibri"/>
          <w:bCs/>
          <w:sz w:val="28"/>
          <w:szCs w:val="28"/>
          <w:lang w:val="x-none" w:eastAsia="en-US"/>
        </w:rPr>
        <w:t xml:space="preserve">7 </w:t>
      </w:r>
      <w:r w:rsidR="002E4D80" w:rsidRPr="00A52DD9">
        <w:rPr>
          <w:rFonts w:eastAsia="Calibri"/>
          <w:bCs/>
          <w:sz w:val="28"/>
          <w:szCs w:val="28"/>
          <w:lang w:eastAsia="en-US"/>
        </w:rPr>
        <w:t xml:space="preserve">(семи) </w:t>
      </w:r>
      <w:r w:rsidR="00FE3288" w:rsidRPr="00A52DD9">
        <w:rPr>
          <w:rFonts w:eastAsia="Calibri"/>
          <w:bCs/>
          <w:sz w:val="28"/>
          <w:szCs w:val="28"/>
          <w:lang w:val="x-none" w:eastAsia="en-US"/>
        </w:rPr>
        <w:t>лет</w:t>
      </w:r>
      <w:r w:rsidR="0096793C" w:rsidRPr="00A52DD9">
        <w:rPr>
          <w:rFonts w:eastAsia="Calibri"/>
          <w:bCs/>
          <w:sz w:val="28"/>
          <w:szCs w:val="28"/>
          <w:lang w:val="x-none" w:eastAsia="en-US"/>
        </w:rPr>
        <w:t>:</w:t>
      </w:r>
      <w:r w:rsidR="0096793C" w:rsidRPr="00A52DD9">
        <w:rPr>
          <w:rFonts w:eastAsia="Calibri"/>
          <w:bCs/>
          <w:sz w:val="28"/>
          <w:szCs w:val="28"/>
          <w:lang w:eastAsia="en-US"/>
        </w:rPr>
        <w:t xml:space="preserve"> </w:t>
      </w:r>
      <w:r w:rsidR="0096793C" w:rsidRPr="00A52DD9">
        <w:rPr>
          <w:rFonts w:eastAsia="Calibri"/>
          <w:bCs/>
          <w:sz w:val="28"/>
          <w:szCs w:val="28"/>
          <w:lang w:val="x-none" w:eastAsia="en-US"/>
        </w:rPr>
        <w:t xml:space="preserve">2021 год – </w:t>
      </w:r>
      <w:r w:rsidR="0096793C" w:rsidRPr="00A52DD9">
        <w:rPr>
          <w:rFonts w:eastAsia="Calibri"/>
          <w:bCs/>
          <w:sz w:val="28"/>
          <w:szCs w:val="28"/>
          <w:lang w:eastAsia="en-US"/>
        </w:rPr>
        <w:t>76,7</w:t>
      </w:r>
      <w:r w:rsidR="0096793C" w:rsidRPr="00A52DD9">
        <w:rPr>
          <w:rFonts w:eastAsia="Calibri"/>
          <w:bCs/>
          <w:sz w:val="28"/>
          <w:szCs w:val="28"/>
          <w:lang w:val="x-none" w:eastAsia="en-US"/>
        </w:rPr>
        <w:t xml:space="preserve"> процента, 2022 год – </w:t>
      </w:r>
      <w:r w:rsidR="0096793C" w:rsidRPr="00A52DD9">
        <w:rPr>
          <w:rFonts w:eastAsia="Calibri"/>
          <w:bCs/>
          <w:sz w:val="28"/>
          <w:szCs w:val="28"/>
          <w:lang w:eastAsia="en-US"/>
        </w:rPr>
        <w:t>87,4</w:t>
      </w:r>
      <w:r w:rsidR="0096793C" w:rsidRPr="00A52DD9">
        <w:rPr>
          <w:rFonts w:eastAsia="Calibri"/>
          <w:bCs/>
          <w:sz w:val="28"/>
          <w:szCs w:val="28"/>
          <w:lang w:val="x-none" w:eastAsia="en-US"/>
        </w:rPr>
        <w:t xml:space="preserve"> процента, 2023 год – </w:t>
      </w:r>
      <w:r w:rsidR="0096793C" w:rsidRPr="00A52DD9">
        <w:rPr>
          <w:rFonts w:eastAsia="Calibri"/>
          <w:bCs/>
          <w:sz w:val="28"/>
          <w:szCs w:val="28"/>
          <w:lang w:eastAsia="en-US"/>
        </w:rPr>
        <w:t>87,1</w:t>
      </w:r>
      <w:r w:rsidR="0096793C" w:rsidRPr="00A52DD9">
        <w:rPr>
          <w:rFonts w:eastAsia="Calibri"/>
          <w:bCs/>
          <w:sz w:val="28"/>
          <w:szCs w:val="28"/>
          <w:lang w:val="x-none" w:eastAsia="en-US"/>
        </w:rPr>
        <w:t xml:space="preserve"> процента, 2024 год –</w:t>
      </w:r>
      <w:r w:rsidR="00773ABB">
        <w:rPr>
          <w:rFonts w:eastAsia="Calibri"/>
          <w:bCs/>
          <w:sz w:val="28"/>
          <w:szCs w:val="28"/>
          <w:lang w:val="x-none" w:eastAsia="en-US"/>
        </w:rPr>
        <w:t xml:space="preserve"> </w:t>
      </w:r>
      <w:r w:rsidR="0096793C" w:rsidRPr="00A52DD9">
        <w:rPr>
          <w:rFonts w:eastAsia="Calibri"/>
          <w:bCs/>
          <w:sz w:val="28"/>
          <w:szCs w:val="28"/>
          <w:lang w:eastAsia="en-US"/>
        </w:rPr>
        <w:t>87,7</w:t>
      </w:r>
      <w:r w:rsidR="0096793C" w:rsidRPr="00A52DD9">
        <w:rPr>
          <w:rFonts w:eastAsia="Calibri"/>
          <w:bCs/>
          <w:sz w:val="28"/>
          <w:szCs w:val="28"/>
          <w:lang w:val="x-none" w:eastAsia="en-US"/>
        </w:rPr>
        <w:t xml:space="preserve"> процента, 2025 год – </w:t>
      </w:r>
      <w:r w:rsidR="0096793C" w:rsidRPr="00A52DD9">
        <w:rPr>
          <w:rFonts w:eastAsia="Calibri"/>
          <w:bCs/>
          <w:sz w:val="28"/>
          <w:szCs w:val="28"/>
          <w:lang w:eastAsia="en-US"/>
        </w:rPr>
        <w:t>89,5</w:t>
      </w:r>
      <w:r w:rsidR="0096793C" w:rsidRPr="00A52DD9">
        <w:rPr>
          <w:rFonts w:eastAsia="Calibri"/>
          <w:bCs/>
          <w:sz w:val="28"/>
          <w:szCs w:val="28"/>
          <w:lang w:val="x-none" w:eastAsia="en-US"/>
        </w:rPr>
        <w:t xml:space="preserve"> процента;</w:t>
      </w:r>
    </w:p>
    <w:p w:rsidR="00FE3288" w:rsidRPr="00A52DD9" w:rsidRDefault="00DF7DAF" w:rsidP="008E6E29">
      <w:pPr>
        <w:ind w:firstLine="709"/>
        <w:jc w:val="both"/>
        <w:rPr>
          <w:rFonts w:eastAsia="Calibri"/>
          <w:bCs/>
          <w:sz w:val="28"/>
          <w:szCs w:val="28"/>
          <w:lang w:val="x-none" w:eastAsia="en-US"/>
        </w:rPr>
      </w:pPr>
      <w:r w:rsidRPr="00A52DD9">
        <w:rPr>
          <w:rFonts w:eastAsia="Calibri"/>
          <w:bCs/>
          <w:sz w:val="28"/>
          <w:szCs w:val="28"/>
          <w:lang w:eastAsia="en-US"/>
        </w:rPr>
        <w:t>г</w:t>
      </w:r>
      <w:r w:rsidR="00FE3288" w:rsidRPr="00A52DD9">
        <w:rPr>
          <w:rFonts w:eastAsia="Calibri"/>
          <w:bCs/>
          <w:sz w:val="28"/>
          <w:szCs w:val="28"/>
          <w:lang w:eastAsia="en-US"/>
        </w:rPr>
        <w:t>)</w:t>
      </w:r>
      <w:r w:rsidR="00FE3288" w:rsidRPr="00A52DD9">
        <w:rPr>
          <w:rFonts w:eastAsia="Calibri"/>
          <w:bCs/>
          <w:sz w:val="28"/>
          <w:szCs w:val="28"/>
          <w:lang w:val="x-none" w:eastAsia="en-US"/>
        </w:rPr>
        <w:t xml:space="preserve"> против дифтерии и столбняка детей в возрасте</w:t>
      </w:r>
      <w:r w:rsidR="0096793C" w:rsidRPr="00A52DD9">
        <w:rPr>
          <w:rFonts w:eastAsia="Calibri"/>
          <w:bCs/>
          <w:sz w:val="28"/>
          <w:szCs w:val="28"/>
          <w:lang w:eastAsia="en-US"/>
        </w:rPr>
        <w:t xml:space="preserve"> до </w:t>
      </w:r>
      <w:r w:rsidR="00CF3DA9" w:rsidRPr="00A52DD9">
        <w:rPr>
          <w:rFonts w:eastAsia="Calibri"/>
          <w:bCs/>
          <w:sz w:val="28"/>
          <w:szCs w:val="28"/>
          <w:lang w:eastAsia="en-US"/>
        </w:rPr>
        <w:t>1 (</w:t>
      </w:r>
      <w:r w:rsidR="00FE3288" w:rsidRPr="00A52DD9">
        <w:rPr>
          <w:rFonts w:eastAsia="Calibri"/>
          <w:bCs/>
          <w:sz w:val="28"/>
          <w:szCs w:val="28"/>
          <w:lang w:val="x-none" w:eastAsia="en-US"/>
        </w:rPr>
        <w:t>одного</w:t>
      </w:r>
      <w:r w:rsidR="00CF3DA9" w:rsidRPr="00A52DD9">
        <w:rPr>
          <w:rFonts w:eastAsia="Calibri"/>
          <w:bCs/>
          <w:sz w:val="28"/>
          <w:szCs w:val="28"/>
          <w:lang w:eastAsia="en-US"/>
        </w:rPr>
        <w:t>)</w:t>
      </w:r>
      <w:r w:rsidR="007A261E" w:rsidRPr="00A52DD9">
        <w:rPr>
          <w:rFonts w:eastAsia="Calibri"/>
          <w:bCs/>
          <w:sz w:val="28"/>
          <w:szCs w:val="28"/>
          <w:lang w:val="x-none" w:eastAsia="en-US"/>
        </w:rPr>
        <w:t xml:space="preserve"> года</w:t>
      </w:r>
      <w:r w:rsidR="0096793C" w:rsidRPr="00A52DD9">
        <w:rPr>
          <w:rFonts w:eastAsia="Calibri"/>
          <w:bCs/>
          <w:sz w:val="28"/>
          <w:szCs w:val="28"/>
          <w:lang w:val="x-none" w:eastAsia="en-US"/>
        </w:rPr>
        <w:t>:</w:t>
      </w:r>
      <w:r w:rsidR="00773ABB">
        <w:rPr>
          <w:sz w:val="28"/>
          <w:szCs w:val="28"/>
        </w:rPr>
        <w:t xml:space="preserve"> </w:t>
      </w:r>
      <w:r w:rsidR="005D5C54">
        <w:rPr>
          <w:sz w:val="28"/>
          <w:szCs w:val="28"/>
        </w:rPr>
        <w:br/>
      </w:r>
      <w:r w:rsidR="0096793C" w:rsidRPr="00A52DD9">
        <w:rPr>
          <w:rFonts w:eastAsia="Calibri"/>
          <w:bCs/>
          <w:sz w:val="28"/>
          <w:szCs w:val="28"/>
          <w:lang w:val="x-none" w:eastAsia="en-US"/>
        </w:rPr>
        <w:t xml:space="preserve">2021 год – </w:t>
      </w:r>
      <w:r w:rsidR="0096793C" w:rsidRPr="00A52DD9">
        <w:rPr>
          <w:rFonts w:eastAsia="Calibri"/>
          <w:bCs/>
          <w:sz w:val="28"/>
          <w:szCs w:val="28"/>
          <w:lang w:eastAsia="en-US"/>
        </w:rPr>
        <w:t>66,1</w:t>
      </w:r>
      <w:r w:rsidR="007A261E" w:rsidRPr="00A52DD9">
        <w:rPr>
          <w:rFonts w:eastAsia="Calibri"/>
          <w:bCs/>
          <w:sz w:val="28"/>
          <w:szCs w:val="28"/>
          <w:lang w:val="x-none" w:eastAsia="en-US"/>
        </w:rPr>
        <w:t xml:space="preserve"> процента, </w:t>
      </w:r>
      <w:r w:rsidR="0096793C" w:rsidRPr="00A52DD9">
        <w:rPr>
          <w:rFonts w:eastAsia="Calibri"/>
          <w:bCs/>
          <w:sz w:val="28"/>
          <w:szCs w:val="28"/>
          <w:lang w:val="x-none" w:eastAsia="en-US"/>
        </w:rPr>
        <w:t xml:space="preserve">2022 год – </w:t>
      </w:r>
      <w:r w:rsidR="0096793C" w:rsidRPr="00A52DD9">
        <w:rPr>
          <w:rFonts w:eastAsia="Calibri"/>
          <w:bCs/>
          <w:sz w:val="28"/>
          <w:szCs w:val="28"/>
          <w:lang w:eastAsia="en-US"/>
        </w:rPr>
        <w:t>80,9</w:t>
      </w:r>
      <w:r w:rsidR="0096793C" w:rsidRPr="00A52DD9">
        <w:rPr>
          <w:rFonts w:eastAsia="Calibri"/>
          <w:bCs/>
          <w:sz w:val="28"/>
          <w:szCs w:val="28"/>
          <w:lang w:val="x-none" w:eastAsia="en-US"/>
        </w:rPr>
        <w:t xml:space="preserve"> процента, 2023 год – </w:t>
      </w:r>
      <w:r w:rsidR="0096793C" w:rsidRPr="00A52DD9">
        <w:rPr>
          <w:rFonts w:eastAsia="Calibri"/>
          <w:bCs/>
          <w:sz w:val="28"/>
          <w:szCs w:val="28"/>
          <w:lang w:eastAsia="en-US"/>
        </w:rPr>
        <w:t>75,9</w:t>
      </w:r>
      <w:r w:rsidR="0096793C" w:rsidRPr="00A52DD9">
        <w:rPr>
          <w:rFonts w:eastAsia="Calibri"/>
          <w:bCs/>
          <w:sz w:val="28"/>
          <w:szCs w:val="28"/>
          <w:lang w:val="x-none" w:eastAsia="en-US"/>
        </w:rPr>
        <w:t xml:space="preserve"> процента, 2024 год –</w:t>
      </w:r>
      <w:r w:rsidR="00773ABB">
        <w:rPr>
          <w:rFonts w:eastAsia="Calibri"/>
          <w:bCs/>
          <w:sz w:val="28"/>
          <w:szCs w:val="28"/>
          <w:lang w:val="x-none" w:eastAsia="en-US"/>
        </w:rPr>
        <w:t xml:space="preserve"> </w:t>
      </w:r>
      <w:r w:rsidR="0096793C" w:rsidRPr="00A52DD9">
        <w:rPr>
          <w:rFonts w:eastAsia="Calibri"/>
          <w:bCs/>
          <w:sz w:val="28"/>
          <w:szCs w:val="28"/>
          <w:lang w:val="x-none" w:eastAsia="en-US"/>
        </w:rPr>
        <w:t xml:space="preserve">78,6 процента, 2025 год – </w:t>
      </w:r>
      <w:r w:rsidR="0096793C" w:rsidRPr="00A52DD9">
        <w:rPr>
          <w:rFonts w:eastAsia="Calibri"/>
          <w:bCs/>
          <w:sz w:val="28"/>
          <w:szCs w:val="28"/>
          <w:lang w:eastAsia="en-US"/>
        </w:rPr>
        <w:t>71,1</w:t>
      </w:r>
      <w:r w:rsidR="0096793C" w:rsidRPr="00A52DD9">
        <w:rPr>
          <w:rFonts w:eastAsia="Calibri"/>
          <w:bCs/>
          <w:sz w:val="28"/>
          <w:szCs w:val="28"/>
          <w:lang w:val="x-none" w:eastAsia="en-US"/>
        </w:rPr>
        <w:t xml:space="preserve"> процента;</w:t>
      </w:r>
      <w:r w:rsidR="008E6E29" w:rsidRPr="00A52DD9">
        <w:rPr>
          <w:rFonts w:eastAsia="Calibri"/>
          <w:bCs/>
          <w:sz w:val="28"/>
          <w:szCs w:val="28"/>
          <w:lang w:eastAsia="en-US"/>
        </w:rPr>
        <w:t xml:space="preserve"> </w:t>
      </w:r>
      <w:r w:rsidR="00FE3288" w:rsidRPr="00A52DD9">
        <w:rPr>
          <w:rFonts w:eastAsia="Calibri"/>
          <w:bCs/>
          <w:sz w:val="28"/>
          <w:szCs w:val="28"/>
          <w:lang w:val="x-none" w:eastAsia="en-US"/>
        </w:rPr>
        <w:t>I ревакцинацией детей</w:t>
      </w:r>
      <w:r w:rsidR="00773ABB">
        <w:rPr>
          <w:rFonts w:eastAsia="Calibri"/>
          <w:bCs/>
          <w:sz w:val="28"/>
          <w:szCs w:val="28"/>
          <w:lang w:val="x-none" w:eastAsia="en-US"/>
        </w:rPr>
        <w:t xml:space="preserve"> </w:t>
      </w:r>
      <w:r w:rsidR="00FE3288" w:rsidRPr="00A52DD9">
        <w:rPr>
          <w:rFonts w:eastAsia="Calibri"/>
          <w:bCs/>
          <w:sz w:val="28"/>
          <w:szCs w:val="28"/>
          <w:lang w:val="x-none" w:eastAsia="en-US"/>
        </w:rPr>
        <w:t xml:space="preserve">в возрасте </w:t>
      </w:r>
      <w:r w:rsidR="00CF3DA9" w:rsidRPr="00A52DD9">
        <w:rPr>
          <w:rFonts w:eastAsia="Calibri"/>
          <w:bCs/>
          <w:sz w:val="28"/>
          <w:szCs w:val="28"/>
          <w:lang w:eastAsia="en-US"/>
        </w:rPr>
        <w:t xml:space="preserve">до </w:t>
      </w:r>
      <w:r w:rsidR="0096793C" w:rsidRPr="00A52DD9">
        <w:rPr>
          <w:rFonts w:eastAsia="Calibri"/>
          <w:bCs/>
          <w:sz w:val="28"/>
          <w:szCs w:val="28"/>
          <w:lang w:eastAsia="en-US"/>
        </w:rPr>
        <w:t>2</w:t>
      </w:r>
      <w:r w:rsidR="00CF3DA9" w:rsidRPr="00A52DD9">
        <w:rPr>
          <w:rFonts w:eastAsia="Calibri"/>
          <w:bCs/>
          <w:sz w:val="28"/>
          <w:szCs w:val="28"/>
          <w:lang w:eastAsia="en-US"/>
        </w:rPr>
        <w:t xml:space="preserve"> (</w:t>
      </w:r>
      <w:r w:rsidR="0096793C" w:rsidRPr="00A52DD9">
        <w:rPr>
          <w:rFonts w:eastAsia="Calibri"/>
          <w:bCs/>
          <w:sz w:val="28"/>
          <w:szCs w:val="28"/>
          <w:lang w:eastAsia="en-US"/>
        </w:rPr>
        <w:t>двух</w:t>
      </w:r>
      <w:r w:rsidR="00CF3DA9" w:rsidRPr="00A52DD9">
        <w:rPr>
          <w:rFonts w:eastAsia="Calibri"/>
          <w:bCs/>
          <w:sz w:val="28"/>
          <w:szCs w:val="28"/>
          <w:lang w:eastAsia="en-US"/>
        </w:rPr>
        <w:t>)</w:t>
      </w:r>
      <w:r w:rsidR="00FE3288" w:rsidRPr="00A52DD9">
        <w:rPr>
          <w:rFonts w:eastAsia="Calibri"/>
          <w:bCs/>
          <w:sz w:val="28"/>
          <w:szCs w:val="28"/>
          <w:lang w:val="x-none" w:eastAsia="en-US"/>
        </w:rPr>
        <w:t xml:space="preserve"> лет</w:t>
      </w:r>
      <w:r w:rsidR="00114565">
        <w:rPr>
          <w:rFonts w:eastAsia="Calibri"/>
          <w:bCs/>
          <w:sz w:val="28"/>
          <w:szCs w:val="28"/>
          <w:lang w:eastAsia="en-US"/>
        </w:rPr>
        <w:t>:</w:t>
      </w:r>
      <w:r w:rsidR="008655D0" w:rsidRPr="00A52DD9">
        <w:rPr>
          <w:sz w:val="28"/>
          <w:szCs w:val="28"/>
        </w:rPr>
        <w:t xml:space="preserve"> </w:t>
      </w:r>
      <w:r w:rsidR="008655D0" w:rsidRPr="00A52DD9">
        <w:rPr>
          <w:rFonts w:eastAsia="Calibri"/>
          <w:bCs/>
          <w:sz w:val="28"/>
          <w:szCs w:val="28"/>
          <w:lang w:eastAsia="en-US"/>
        </w:rPr>
        <w:t>2021 год – 59,7 процента, 2022 год – 60,9 процента,</w:t>
      </w:r>
      <w:r w:rsidR="00773ABB">
        <w:rPr>
          <w:rFonts w:eastAsia="Calibri"/>
          <w:bCs/>
          <w:sz w:val="28"/>
          <w:szCs w:val="28"/>
          <w:lang w:eastAsia="en-US"/>
        </w:rPr>
        <w:t xml:space="preserve"> </w:t>
      </w:r>
      <w:r w:rsidR="008655D0" w:rsidRPr="00A52DD9">
        <w:rPr>
          <w:rFonts w:eastAsia="Calibri"/>
          <w:bCs/>
          <w:sz w:val="28"/>
          <w:szCs w:val="28"/>
          <w:lang w:eastAsia="en-US"/>
        </w:rPr>
        <w:t>2023 год – 57,4 процента, 2024 год –</w:t>
      </w:r>
      <w:r w:rsidR="00773ABB">
        <w:rPr>
          <w:rFonts w:eastAsia="Calibri"/>
          <w:bCs/>
          <w:sz w:val="28"/>
          <w:szCs w:val="28"/>
          <w:lang w:eastAsia="en-US"/>
        </w:rPr>
        <w:t xml:space="preserve"> </w:t>
      </w:r>
      <w:r w:rsidR="008655D0" w:rsidRPr="00A52DD9">
        <w:rPr>
          <w:rFonts w:eastAsia="Calibri"/>
          <w:bCs/>
          <w:sz w:val="28"/>
          <w:szCs w:val="28"/>
          <w:lang w:eastAsia="en-US"/>
        </w:rPr>
        <w:t>61,2 процента, 2025 год – 58,2 процента;</w:t>
      </w:r>
      <w:r w:rsidR="008E6E29" w:rsidRPr="00A52DD9">
        <w:rPr>
          <w:rFonts w:eastAsia="Calibri"/>
          <w:bCs/>
          <w:sz w:val="28"/>
          <w:szCs w:val="28"/>
          <w:lang w:eastAsia="en-US"/>
        </w:rPr>
        <w:t xml:space="preserve"> </w:t>
      </w:r>
      <w:r w:rsidR="00FE3288" w:rsidRPr="00A52DD9">
        <w:rPr>
          <w:rFonts w:eastAsia="Calibri"/>
          <w:bCs/>
          <w:sz w:val="28"/>
          <w:szCs w:val="28"/>
          <w:lang w:val="x-none" w:eastAsia="en-US"/>
        </w:rPr>
        <w:t>II ревакцинацией детей в возрасте</w:t>
      </w:r>
      <w:r w:rsidR="00CF3DA9" w:rsidRPr="00A52DD9">
        <w:rPr>
          <w:rFonts w:eastAsia="Calibri"/>
          <w:bCs/>
          <w:sz w:val="28"/>
          <w:szCs w:val="28"/>
          <w:lang w:eastAsia="en-US"/>
        </w:rPr>
        <w:t xml:space="preserve"> до</w:t>
      </w:r>
      <w:r w:rsidR="00FE3288" w:rsidRPr="00A52DD9">
        <w:rPr>
          <w:rFonts w:eastAsia="Calibri"/>
          <w:bCs/>
          <w:sz w:val="28"/>
          <w:szCs w:val="28"/>
          <w:lang w:val="x-none" w:eastAsia="en-US"/>
        </w:rPr>
        <w:t xml:space="preserve"> 7 </w:t>
      </w:r>
      <w:r w:rsidR="00CF3DA9" w:rsidRPr="00A52DD9">
        <w:rPr>
          <w:rFonts w:eastAsia="Calibri"/>
          <w:bCs/>
          <w:sz w:val="28"/>
          <w:szCs w:val="28"/>
          <w:lang w:eastAsia="en-US"/>
        </w:rPr>
        <w:t xml:space="preserve">(семи) </w:t>
      </w:r>
      <w:r w:rsidR="00FE3288" w:rsidRPr="00A52DD9">
        <w:rPr>
          <w:rFonts w:eastAsia="Calibri"/>
          <w:bCs/>
          <w:sz w:val="28"/>
          <w:szCs w:val="28"/>
          <w:lang w:val="x-none" w:eastAsia="en-US"/>
        </w:rPr>
        <w:t>лет</w:t>
      </w:r>
      <w:r w:rsidR="008655D0" w:rsidRPr="00A52DD9">
        <w:rPr>
          <w:rFonts w:eastAsia="Calibri"/>
          <w:bCs/>
          <w:sz w:val="28"/>
          <w:szCs w:val="28"/>
          <w:lang w:val="x-none" w:eastAsia="en-US"/>
        </w:rPr>
        <w:t>:</w:t>
      </w:r>
      <w:r w:rsidR="00773ABB">
        <w:rPr>
          <w:rFonts w:eastAsia="Calibri"/>
          <w:bCs/>
          <w:sz w:val="28"/>
          <w:szCs w:val="28"/>
          <w:lang w:val="x-none" w:eastAsia="en-US"/>
        </w:rPr>
        <w:t xml:space="preserve"> </w:t>
      </w:r>
      <w:r w:rsidR="008655D0" w:rsidRPr="00A52DD9">
        <w:rPr>
          <w:rFonts w:eastAsia="Calibri"/>
          <w:bCs/>
          <w:sz w:val="28"/>
          <w:szCs w:val="28"/>
          <w:lang w:val="x-none" w:eastAsia="en-US"/>
        </w:rPr>
        <w:t xml:space="preserve">2021 год – </w:t>
      </w:r>
      <w:r w:rsidR="008655D0" w:rsidRPr="00A52DD9">
        <w:rPr>
          <w:rFonts w:eastAsia="Calibri"/>
          <w:bCs/>
          <w:sz w:val="28"/>
          <w:szCs w:val="28"/>
          <w:lang w:eastAsia="en-US"/>
        </w:rPr>
        <w:t>76,7</w:t>
      </w:r>
      <w:r w:rsidR="008655D0" w:rsidRPr="00A52DD9">
        <w:rPr>
          <w:rFonts w:eastAsia="Calibri"/>
          <w:bCs/>
          <w:sz w:val="28"/>
          <w:szCs w:val="28"/>
          <w:lang w:val="x-none" w:eastAsia="en-US"/>
        </w:rPr>
        <w:t xml:space="preserve"> процента, 2022 год – </w:t>
      </w:r>
      <w:r w:rsidR="008655D0" w:rsidRPr="00A52DD9">
        <w:rPr>
          <w:rFonts w:eastAsia="Calibri"/>
          <w:bCs/>
          <w:sz w:val="28"/>
          <w:szCs w:val="28"/>
          <w:lang w:eastAsia="en-US"/>
        </w:rPr>
        <w:t>87,2</w:t>
      </w:r>
      <w:r w:rsidR="008655D0" w:rsidRPr="00A52DD9">
        <w:rPr>
          <w:rFonts w:eastAsia="Calibri"/>
          <w:bCs/>
          <w:sz w:val="28"/>
          <w:szCs w:val="28"/>
          <w:lang w:val="x-none" w:eastAsia="en-US"/>
        </w:rPr>
        <w:t xml:space="preserve"> процента, 2023 год – </w:t>
      </w:r>
      <w:r w:rsidR="008655D0" w:rsidRPr="00A52DD9">
        <w:rPr>
          <w:rFonts w:eastAsia="Calibri"/>
          <w:bCs/>
          <w:sz w:val="28"/>
          <w:szCs w:val="28"/>
          <w:lang w:eastAsia="en-US"/>
        </w:rPr>
        <w:t>84,</w:t>
      </w:r>
      <w:r w:rsidR="00AC1CF9" w:rsidRPr="00A52DD9">
        <w:rPr>
          <w:rFonts w:eastAsia="Calibri"/>
          <w:bCs/>
          <w:sz w:val="28"/>
          <w:szCs w:val="28"/>
          <w:lang w:eastAsia="en-US"/>
        </w:rPr>
        <w:t>7</w:t>
      </w:r>
      <w:r w:rsidR="008655D0" w:rsidRPr="00A52DD9">
        <w:rPr>
          <w:rFonts w:eastAsia="Calibri"/>
          <w:bCs/>
          <w:sz w:val="28"/>
          <w:szCs w:val="28"/>
          <w:lang w:val="x-none" w:eastAsia="en-US"/>
        </w:rPr>
        <w:t xml:space="preserve"> процента, 2024 год –</w:t>
      </w:r>
      <w:r w:rsidR="00773ABB">
        <w:rPr>
          <w:rFonts w:eastAsia="Calibri"/>
          <w:bCs/>
          <w:sz w:val="28"/>
          <w:szCs w:val="28"/>
          <w:lang w:val="x-none" w:eastAsia="en-US"/>
        </w:rPr>
        <w:t xml:space="preserve"> </w:t>
      </w:r>
      <w:r w:rsidR="008655D0" w:rsidRPr="00A52DD9">
        <w:rPr>
          <w:rFonts w:eastAsia="Calibri"/>
          <w:bCs/>
          <w:sz w:val="28"/>
          <w:szCs w:val="28"/>
          <w:lang w:eastAsia="en-US"/>
        </w:rPr>
        <w:t>87,7</w:t>
      </w:r>
      <w:r w:rsidR="008655D0" w:rsidRPr="00A52DD9">
        <w:rPr>
          <w:rFonts w:eastAsia="Calibri"/>
          <w:bCs/>
          <w:sz w:val="28"/>
          <w:szCs w:val="28"/>
          <w:lang w:val="x-none" w:eastAsia="en-US"/>
        </w:rPr>
        <w:t xml:space="preserve"> процента, 2025 год – </w:t>
      </w:r>
      <w:r w:rsidR="008655D0" w:rsidRPr="00A52DD9">
        <w:rPr>
          <w:rFonts w:eastAsia="Calibri"/>
          <w:bCs/>
          <w:sz w:val="28"/>
          <w:szCs w:val="28"/>
          <w:lang w:eastAsia="en-US"/>
        </w:rPr>
        <w:t>88,4</w:t>
      </w:r>
      <w:r w:rsidR="008655D0" w:rsidRPr="00A52DD9">
        <w:rPr>
          <w:rFonts w:eastAsia="Calibri"/>
          <w:bCs/>
          <w:sz w:val="28"/>
          <w:szCs w:val="28"/>
          <w:lang w:val="x-none" w:eastAsia="en-US"/>
        </w:rPr>
        <w:t xml:space="preserve"> процента;</w:t>
      </w:r>
    </w:p>
    <w:p w:rsidR="008655D0" w:rsidRPr="00A52DD9" w:rsidRDefault="00DF7DAF" w:rsidP="008E6E29">
      <w:pPr>
        <w:ind w:firstLine="709"/>
        <w:jc w:val="both"/>
        <w:rPr>
          <w:rFonts w:eastAsia="Calibri"/>
          <w:bCs/>
          <w:sz w:val="28"/>
          <w:szCs w:val="28"/>
          <w:lang w:eastAsia="en-US"/>
        </w:rPr>
      </w:pPr>
      <w:r w:rsidRPr="00A52DD9">
        <w:rPr>
          <w:rFonts w:eastAsia="Calibri"/>
          <w:bCs/>
          <w:sz w:val="28"/>
          <w:szCs w:val="28"/>
          <w:lang w:eastAsia="en-US"/>
        </w:rPr>
        <w:t>д</w:t>
      </w:r>
      <w:r w:rsidR="00FE3288" w:rsidRPr="00A52DD9">
        <w:rPr>
          <w:rFonts w:eastAsia="Calibri"/>
          <w:bCs/>
          <w:sz w:val="28"/>
          <w:szCs w:val="28"/>
          <w:lang w:eastAsia="en-US"/>
        </w:rPr>
        <w:t xml:space="preserve">) </w:t>
      </w:r>
      <w:r w:rsidR="00FE3288" w:rsidRPr="00A52DD9">
        <w:rPr>
          <w:rFonts w:eastAsia="Calibri"/>
          <w:bCs/>
          <w:sz w:val="28"/>
          <w:szCs w:val="28"/>
          <w:lang w:val="x-none" w:eastAsia="en-US"/>
        </w:rPr>
        <w:t>против коклюша</w:t>
      </w:r>
      <w:r w:rsidR="008E6E29" w:rsidRPr="00A52DD9">
        <w:rPr>
          <w:rFonts w:eastAsia="Calibri"/>
          <w:bCs/>
          <w:sz w:val="28"/>
          <w:szCs w:val="28"/>
          <w:lang w:eastAsia="en-US"/>
        </w:rPr>
        <w:t xml:space="preserve"> </w:t>
      </w:r>
      <w:r w:rsidR="008655D0" w:rsidRPr="00A52DD9">
        <w:rPr>
          <w:rFonts w:eastAsia="Calibri"/>
          <w:bCs/>
          <w:sz w:val="28"/>
          <w:szCs w:val="28"/>
          <w:lang w:val="x-none" w:eastAsia="en-US"/>
        </w:rPr>
        <w:t xml:space="preserve">детей в возрасте до 1 (одного) года: 2021 год – </w:t>
      </w:r>
      <w:r w:rsidR="005D5C54">
        <w:rPr>
          <w:rFonts w:eastAsia="Calibri"/>
          <w:bCs/>
          <w:sz w:val="28"/>
          <w:szCs w:val="28"/>
          <w:lang w:val="x-none" w:eastAsia="en-US"/>
        </w:rPr>
        <w:br/>
      </w:r>
      <w:r w:rsidR="008655D0" w:rsidRPr="00A52DD9">
        <w:rPr>
          <w:rFonts w:eastAsia="Calibri"/>
          <w:bCs/>
          <w:sz w:val="28"/>
          <w:szCs w:val="28"/>
          <w:lang w:eastAsia="en-US"/>
        </w:rPr>
        <w:t>65,6</w:t>
      </w:r>
      <w:r w:rsidR="008655D0" w:rsidRPr="00A52DD9">
        <w:rPr>
          <w:rFonts w:eastAsia="Calibri"/>
          <w:bCs/>
          <w:sz w:val="28"/>
          <w:szCs w:val="28"/>
          <w:lang w:val="x-none" w:eastAsia="en-US"/>
        </w:rPr>
        <w:t xml:space="preserve"> процента, 2022 год – 80,</w:t>
      </w:r>
      <w:r w:rsidR="008655D0" w:rsidRPr="00A52DD9">
        <w:rPr>
          <w:rFonts w:eastAsia="Calibri"/>
          <w:bCs/>
          <w:sz w:val="28"/>
          <w:szCs w:val="28"/>
          <w:lang w:eastAsia="en-US"/>
        </w:rPr>
        <w:t>5</w:t>
      </w:r>
      <w:r w:rsidR="008655D0" w:rsidRPr="00A52DD9">
        <w:rPr>
          <w:rFonts w:eastAsia="Calibri"/>
          <w:bCs/>
          <w:sz w:val="28"/>
          <w:szCs w:val="28"/>
          <w:lang w:val="x-none" w:eastAsia="en-US"/>
        </w:rPr>
        <w:t xml:space="preserve"> </w:t>
      </w:r>
      <w:r w:rsidR="007A261E" w:rsidRPr="00A52DD9">
        <w:rPr>
          <w:rFonts w:eastAsia="Calibri"/>
          <w:bCs/>
          <w:sz w:val="28"/>
          <w:szCs w:val="28"/>
          <w:lang w:val="x-none" w:eastAsia="en-US"/>
        </w:rPr>
        <w:t xml:space="preserve">процента, </w:t>
      </w:r>
      <w:r w:rsidR="007A261E" w:rsidRPr="00A52DD9">
        <w:rPr>
          <w:rFonts w:eastAsia="Calibri"/>
          <w:bCs/>
          <w:sz w:val="28"/>
          <w:szCs w:val="28"/>
          <w:lang w:eastAsia="en-US"/>
        </w:rPr>
        <w:t>2023</w:t>
      </w:r>
      <w:r w:rsidR="008655D0" w:rsidRPr="00A52DD9">
        <w:rPr>
          <w:rFonts w:eastAsia="Calibri"/>
          <w:bCs/>
          <w:sz w:val="28"/>
          <w:szCs w:val="28"/>
          <w:lang w:val="x-none" w:eastAsia="en-US"/>
        </w:rPr>
        <w:t xml:space="preserve"> год – 7</w:t>
      </w:r>
      <w:r w:rsidR="008655D0" w:rsidRPr="00A52DD9">
        <w:rPr>
          <w:rFonts w:eastAsia="Calibri"/>
          <w:bCs/>
          <w:sz w:val="28"/>
          <w:szCs w:val="28"/>
          <w:lang w:eastAsia="en-US"/>
        </w:rPr>
        <w:t>6</w:t>
      </w:r>
      <w:r w:rsidR="008655D0" w:rsidRPr="00A52DD9">
        <w:rPr>
          <w:rFonts w:eastAsia="Calibri"/>
          <w:bCs/>
          <w:sz w:val="28"/>
          <w:szCs w:val="28"/>
          <w:lang w:val="x-none" w:eastAsia="en-US"/>
        </w:rPr>
        <w:t>,9 процента, 2024 год –</w:t>
      </w:r>
      <w:r w:rsidR="00773ABB">
        <w:rPr>
          <w:rFonts w:eastAsia="Calibri"/>
          <w:bCs/>
          <w:sz w:val="28"/>
          <w:szCs w:val="28"/>
          <w:lang w:val="x-none" w:eastAsia="en-US"/>
        </w:rPr>
        <w:t xml:space="preserve"> </w:t>
      </w:r>
      <w:r w:rsidR="008655D0" w:rsidRPr="00A52DD9">
        <w:rPr>
          <w:rFonts w:eastAsia="Calibri"/>
          <w:bCs/>
          <w:sz w:val="28"/>
          <w:szCs w:val="28"/>
          <w:lang w:eastAsia="en-US"/>
        </w:rPr>
        <w:lastRenderedPageBreak/>
        <w:t>77,4</w:t>
      </w:r>
      <w:r w:rsidR="008655D0" w:rsidRPr="00A52DD9">
        <w:rPr>
          <w:rFonts w:eastAsia="Calibri"/>
          <w:bCs/>
          <w:sz w:val="28"/>
          <w:szCs w:val="28"/>
          <w:lang w:val="x-none" w:eastAsia="en-US"/>
        </w:rPr>
        <w:t xml:space="preserve"> процента, 2025 год – 71,</w:t>
      </w:r>
      <w:r w:rsidR="008655D0" w:rsidRPr="00A52DD9">
        <w:rPr>
          <w:rFonts w:eastAsia="Calibri"/>
          <w:bCs/>
          <w:sz w:val="28"/>
          <w:szCs w:val="28"/>
          <w:lang w:eastAsia="en-US"/>
        </w:rPr>
        <w:t>5</w:t>
      </w:r>
      <w:r w:rsidR="008655D0" w:rsidRPr="00A52DD9">
        <w:rPr>
          <w:rFonts w:eastAsia="Calibri"/>
          <w:bCs/>
          <w:sz w:val="28"/>
          <w:szCs w:val="28"/>
          <w:lang w:val="x-none" w:eastAsia="en-US"/>
        </w:rPr>
        <w:t xml:space="preserve"> </w:t>
      </w:r>
      <w:r w:rsidR="009B62F3" w:rsidRPr="00A52DD9">
        <w:rPr>
          <w:rFonts w:eastAsia="Calibri"/>
          <w:bCs/>
          <w:sz w:val="28"/>
          <w:szCs w:val="28"/>
          <w:lang w:val="x-none" w:eastAsia="en-US"/>
        </w:rPr>
        <w:t>процента;</w:t>
      </w:r>
      <w:r w:rsidR="007A261E" w:rsidRPr="00A52DD9">
        <w:rPr>
          <w:rFonts w:eastAsia="Calibri"/>
          <w:bCs/>
          <w:sz w:val="28"/>
          <w:szCs w:val="28"/>
          <w:lang w:eastAsia="en-US"/>
        </w:rPr>
        <w:t xml:space="preserve"> </w:t>
      </w:r>
      <w:r w:rsidR="008655D0" w:rsidRPr="00A52DD9">
        <w:rPr>
          <w:rFonts w:eastAsia="Calibri"/>
          <w:bCs/>
          <w:sz w:val="28"/>
          <w:szCs w:val="28"/>
          <w:lang w:eastAsia="en-US"/>
        </w:rPr>
        <w:t xml:space="preserve">I ревакцинацией детей в возрасте </w:t>
      </w:r>
      <w:r w:rsidR="005D5C54">
        <w:rPr>
          <w:rFonts w:eastAsia="Calibri"/>
          <w:bCs/>
          <w:sz w:val="28"/>
          <w:szCs w:val="28"/>
          <w:lang w:eastAsia="en-US"/>
        </w:rPr>
        <w:br/>
      </w:r>
      <w:r w:rsidR="008655D0" w:rsidRPr="00A52DD9">
        <w:rPr>
          <w:rFonts w:eastAsia="Calibri"/>
          <w:bCs/>
          <w:sz w:val="28"/>
          <w:szCs w:val="28"/>
          <w:lang w:eastAsia="en-US"/>
        </w:rPr>
        <w:t>до 2 (двух) лет: 2021 год – 57,8 процента, 2022 год – 58,7 процента, 2023 год – 56,1 процента, 2024 год –</w:t>
      </w:r>
      <w:r w:rsidR="00773ABB">
        <w:rPr>
          <w:rFonts w:eastAsia="Calibri"/>
          <w:bCs/>
          <w:sz w:val="28"/>
          <w:szCs w:val="28"/>
          <w:lang w:eastAsia="en-US"/>
        </w:rPr>
        <w:t xml:space="preserve"> </w:t>
      </w:r>
      <w:r w:rsidR="008655D0" w:rsidRPr="00A52DD9">
        <w:rPr>
          <w:rFonts w:eastAsia="Calibri"/>
          <w:bCs/>
          <w:sz w:val="28"/>
          <w:szCs w:val="28"/>
          <w:lang w:eastAsia="en-US"/>
        </w:rPr>
        <w:t>59,5 процента, 2025 год – 61,1 процента;</w:t>
      </w:r>
    </w:p>
    <w:p w:rsidR="00FE3288" w:rsidRPr="00A52DD9" w:rsidRDefault="00DF7DAF" w:rsidP="00FE3288">
      <w:pPr>
        <w:ind w:firstLine="709"/>
        <w:jc w:val="both"/>
        <w:rPr>
          <w:rFonts w:eastAsia="Calibri"/>
          <w:bCs/>
          <w:sz w:val="28"/>
          <w:szCs w:val="28"/>
          <w:lang w:val="x-none" w:eastAsia="en-US"/>
        </w:rPr>
      </w:pPr>
      <w:r w:rsidRPr="00A52DD9">
        <w:rPr>
          <w:rFonts w:eastAsia="Calibri"/>
          <w:bCs/>
          <w:sz w:val="28"/>
          <w:szCs w:val="28"/>
          <w:lang w:eastAsia="en-US"/>
        </w:rPr>
        <w:t>е</w:t>
      </w:r>
      <w:r w:rsidR="00FE3288" w:rsidRPr="00A52DD9">
        <w:rPr>
          <w:rFonts w:eastAsia="Calibri"/>
          <w:bCs/>
          <w:sz w:val="28"/>
          <w:szCs w:val="28"/>
          <w:lang w:eastAsia="en-US"/>
        </w:rPr>
        <w:t>)</w:t>
      </w:r>
      <w:r w:rsidR="008655D0" w:rsidRPr="00A52DD9">
        <w:rPr>
          <w:rFonts w:eastAsia="Calibri"/>
          <w:bCs/>
          <w:sz w:val="28"/>
          <w:szCs w:val="28"/>
          <w:lang w:val="x-none" w:eastAsia="en-US"/>
        </w:rPr>
        <w:t xml:space="preserve"> против гемофильной инфекции</w:t>
      </w:r>
      <w:r w:rsidR="008655D0" w:rsidRPr="00A52DD9">
        <w:rPr>
          <w:rFonts w:eastAsia="Calibri"/>
          <w:bCs/>
          <w:sz w:val="28"/>
          <w:szCs w:val="28"/>
          <w:lang w:eastAsia="en-US"/>
        </w:rPr>
        <w:t>:</w:t>
      </w:r>
      <w:r w:rsidR="00FE3288" w:rsidRPr="00A52DD9">
        <w:rPr>
          <w:rFonts w:eastAsia="Calibri"/>
          <w:bCs/>
          <w:sz w:val="28"/>
          <w:szCs w:val="28"/>
          <w:lang w:val="x-none" w:eastAsia="en-US"/>
        </w:rPr>
        <w:t xml:space="preserve"> </w:t>
      </w:r>
      <w:r w:rsidR="008655D0" w:rsidRPr="00A52DD9">
        <w:rPr>
          <w:rFonts w:eastAsia="Calibri"/>
          <w:bCs/>
          <w:sz w:val="28"/>
          <w:szCs w:val="28"/>
          <w:lang w:val="x-none" w:eastAsia="en-US"/>
        </w:rPr>
        <w:t xml:space="preserve">2021 год – </w:t>
      </w:r>
      <w:r w:rsidR="008655D0" w:rsidRPr="00A52DD9">
        <w:rPr>
          <w:rFonts w:eastAsia="Calibri"/>
          <w:bCs/>
          <w:sz w:val="28"/>
          <w:szCs w:val="28"/>
          <w:lang w:eastAsia="en-US"/>
        </w:rPr>
        <w:t>72,7</w:t>
      </w:r>
      <w:r w:rsidR="008655D0" w:rsidRPr="00A52DD9">
        <w:rPr>
          <w:rFonts w:eastAsia="Calibri"/>
          <w:bCs/>
          <w:sz w:val="28"/>
          <w:szCs w:val="28"/>
          <w:lang w:val="x-none" w:eastAsia="en-US"/>
        </w:rPr>
        <w:t xml:space="preserve"> процента, 2022 год – </w:t>
      </w:r>
      <w:r w:rsidR="008655D0" w:rsidRPr="00A52DD9">
        <w:rPr>
          <w:rFonts w:eastAsia="Calibri"/>
          <w:bCs/>
          <w:sz w:val="28"/>
          <w:szCs w:val="28"/>
          <w:lang w:eastAsia="en-US"/>
        </w:rPr>
        <w:t>78,1</w:t>
      </w:r>
      <w:r w:rsidR="008655D0" w:rsidRPr="00A52DD9">
        <w:rPr>
          <w:rFonts w:eastAsia="Calibri"/>
          <w:bCs/>
          <w:sz w:val="28"/>
          <w:szCs w:val="28"/>
          <w:lang w:val="x-none" w:eastAsia="en-US"/>
        </w:rPr>
        <w:t xml:space="preserve"> процента, 2023 год – </w:t>
      </w:r>
      <w:r w:rsidR="008655D0" w:rsidRPr="00A52DD9">
        <w:rPr>
          <w:rFonts w:eastAsia="Calibri"/>
          <w:bCs/>
          <w:sz w:val="28"/>
          <w:szCs w:val="28"/>
          <w:lang w:eastAsia="en-US"/>
        </w:rPr>
        <w:t>78,6</w:t>
      </w:r>
      <w:r w:rsidR="008655D0" w:rsidRPr="00A52DD9">
        <w:rPr>
          <w:rFonts w:eastAsia="Calibri"/>
          <w:bCs/>
          <w:sz w:val="28"/>
          <w:szCs w:val="28"/>
          <w:lang w:val="x-none" w:eastAsia="en-US"/>
        </w:rPr>
        <w:t xml:space="preserve"> процента, 2024 год –</w:t>
      </w:r>
      <w:r w:rsidR="00773ABB">
        <w:rPr>
          <w:rFonts w:eastAsia="Calibri"/>
          <w:bCs/>
          <w:sz w:val="28"/>
          <w:szCs w:val="28"/>
          <w:lang w:val="x-none" w:eastAsia="en-US"/>
        </w:rPr>
        <w:t xml:space="preserve"> </w:t>
      </w:r>
      <w:r w:rsidR="008655D0" w:rsidRPr="00A52DD9">
        <w:rPr>
          <w:rFonts w:eastAsia="Calibri"/>
          <w:bCs/>
          <w:sz w:val="28"/>
          <w:szCs w:val="28"/>
          <w:lang w:eastAsia="en-US"/>
        </w:rPr>
        <w:t>78,6</w:t>
      </w:r>
      <w:r w:rsidR="008655D0" w:rsidRPr="00A52DD9">
        <w:rPr>
          <w:rFonts w:eastAsia="Calibri"/>
          <w:bCs/>
          <w:sz w:val="28"/>
          <w:szCs w:val="28"/>
          <w:lang w:val="x-none" w:eastAsia="en-US"/>
        </w:rPr>
        <w:t xml:space="preserve"> процента, 2025 год – </w:t>
      </w:r>
      <w:r w:rsidR="008655D0" w:rsidRPr="00A52DD9">
        <w:rPr>
          <w:rFonts w:eastAsia="Calibri"/>
          <w:bCs/>
          <w:sz w:val="28"/>
          <w:szCs w:val="28"/>
          <w:lang w:eastAsia="en-US"/>
        </w:rPr>
        <w:t>75,0</w:t>
      </w:r>
      <w:r w:rsidR="008655D0" w:rsidRPr="00A52DD9">
        <w:rPr>
          <w:rFonts w:eastAsia="Calibri"/>
          <w:bCs/>
          <w:sz w:val="28"/>
          <w:szCs w:val="28"/>
          <w:lang w:val="x-none" w:eastAsia="en-US"/>
        </w:rPr>
        <w:t xml:space="preserve"> процента</w:t>
      </w:r>
      <w:r w:rsidR="00FE3288" w:rsidRPr="00A52DD9">
        <w:rPr>
          <w:rFonts w:eastAsia="Calibri"/>
          <w:bCs/>
          <w:sz w:val="28"/>
          <w:szCs w:val="28"/>
          <w:lang w:val="x-none" w:eastAsia="en-US"/>
        </w:rPr>
        <w:t>;</w:t>
      </w:r>
    </w:p>
    <w:p w:rsidR="00FE3288" w:rsidRPr="00A52DD9" w:rsidRDefault="00DF7DAF" w:rsidP="00FE3288">
      <w:pPr>
        <w:ind w:firstLine="709"/>
        <w:jc w:val="both"/>
        <w:rPr>
          <w:rFonts w:eastAsia="Calibri"/>
          <w:bCs/>
          <w:sz w:val="28"/>
          <w:szCs w:val="28"/>
          <w:lang w:val="x-none" w:eastAsia="en-US"/>
        </w:rPr>
      </w:pPr>
      <w:r w:rsidRPr="00A52DD9">
        <w:rPr>
          <w:rFonts w:eastAsia="Calibri"/>
          <w:bCs/>
          <w:sz w:val="28"/>
          <w:szCs w:val="28"/>
          <w:lang w:eastAsia="en-US"/>
        </w:rPr>
        <w:t>ж</w:t>
      </w:r>
      <w:r w:rsidR="00FE3288" w:rsidRPr="00A52DD9">
        <w:rPr>
          <w:rFonts w:eastAsia="Calibri"/>
          <w:bCs/>
          <w:sz w:val="28"/>
          <w:szCs w:val="28"/>
          <w:lang w:eastAsia="en-US"/>
        </w:rPr>
        <w:t>)</w:t>
      </w:r>
      <w:r w:rsidR="00FE3288" w:rsidRPr="00A52DD9">
        <w:rPr>
          <w:rFonts w:eastAsia="Calibri"/>
          <w:bCs/>
          <w:sz w:val="28"/>
          <w:szCs w:val="28"/>
          <w:lang w:val="x-none" w:eastAsia="en-US"/>
        </w:rPr>
        <w:t xml:space="preserve"> против </w:t>
      </w:r>
      <w:r w:rsidR="00FE3288" w:rsidRPr="00A52DD9">
        <w:rPr>
          <w:rFonts w:eastAsia="Calibri"/>
          <w:bCs/>
          <w:sz w:val="28"/>
          <w:szCs w:val="28"/>
          <w:lang w:eastAsia="en-US"/>
        </w:rPr>
        <w:t>пневмококковой</w:t>
      </w:r>
      <w:r w:rsidR="00FE3288" w:rsidRPr="00A52DD9">
        <w:rPr>
          <w:rFonts w:eastAsia="Calibri"/>
          <w:bCs/>
          <w:sz w:val="28"/>
          <w:szCs w:val="28"/>
          <w:lang w:val="x-none" w:eastAsia="en-US"/>
        </w:rPr>
        <w:t xml:space="preserve"> инфекции</w:t>
      </w:r>
      <w:r w:rsidR="00973BFC" w:rsidRPr="00A52DD9">
        <w:rPr>
          <w:rFonts w:eastAsia="Calibri"/>
          <w:bCs/>
          <w:sz w:val="28"/>
          <w:szCs w:val="28"/>
          <w:lang w:eastAsia="en-US"/>
        </w:rPr>
        <w:t xml:space="preserve"> детей в возрасте до 1 (одного) года</w:t>
      </w:r>
      <w:r w:rsidR="00490D03">
        <w:rPr>
          <w:rFonts w:eastAsia="Calibri"/>
          <w:bCs/>
          <w:sz w:val="28"/>
          <w:szCs w:val="28"/>
          <w:lang w:eastAsia="en-US"/>
        </w:rPr>
        <w:t>:</w:t>
      </w:r>
      <w:r w:rsidR="00FE3288" w:rsidRPr="00A52DD9">
        <w:rPr>
          <w:rFonts w:eastAsia="Calibri"/>
          <w:bCs/>
          <w:sz w:val="28"/>
          <w:szCs w:val="28"/>
          <w:lang w:val="x-none" w:eastAsia="en-US"/>
        </w:rPr>
        <w:t xml:space="preserve"> </w:t>
      </w:r>
      <w:r w:rsidR="00973BFC" w:rsidRPr="00A52DD9">
        <w:rPr>
          <w:rFonts w:eastAsia="Calibri"/>
          <w:bCs/>
          <w:sz w:val="28"/>
          <w:szCs w:val="28"/>
          <w:lang w:eastAsia="en-US"/>
        </w:rPr>
        <w:t>2023 год – 54,7 процента, 2024 год –</w:t>
      </w:r>
      <w:r w:rsidR="00773ABB">
        <w:rPr>
          <w:rFonts w:eastAsia="Calibri"/>
          <w:bCs/>
          <w:sz w:val="28"/>
          <w:szCs w:val="28"/>
          <w:lang w:eastAsia="en-US"/>
        </w:rPr>
        <w:t xml:space="preserve"> </w:t>
      </w:r>
      <w:r w:rsidR="00973BFC" w:rsidRPr="00A52DD9">
        <w:rPr>
          <w:rFonts w:eastAsia="Calibri"/>
          <w:bCs/>
          <w:sz w:val="28"/>
          <w:szCs w:val="28"/>
          <w:lang w:eastAsia="en-US"/>
        </w:rPr>
        <w:t xml:space="preserve">64,6 процента, 2025 год – </w:t>
      </w:r>
      <w:r w:rsidR="00C55E13">
        <w:rPr>
          <w:rFonts w:eastAsia="Calibri"/>
          <w:bCs/>
          <w:sz w:val="28"/>
          <w:szCs w:val="28"/>
          <w:lang w:eastAsia="en-US"/>
        </w:rPr>
        <w:br/>
      </w:r>
      <w:r w:rsidR="00910623" w:rsidRPr="00A52DD9">
        <w:rPr>
          <w:rFonts w:eastAsia="Calibri"/>
          <w:bCs/>
          <w:sz w:val="28"/>
          <w:szCs w:val="28"/>
          <w:lang w:eastAsia="en-US"/>
        </w:rPr>
        <w:t>7</w:t>
      </w:r>
      <w:r w:rsidR="00973BFC" w:rsidRPr="00A52DD9">
        <w:rPr>
          <w:rFonts w:eastAsia="Calibri"/>
          <w:bCs/>
          <w:sz w:val="28"/>
          <w:szCs w:val="28"/>
          <w:lang w:eastAsia="en-US"/>
        </w:rPr>
        <w:t>0,1 процента;</w:t>
      </w:r>
    </w:p>
    <w:p w:rsidR="00973BFC" w:rsidRPr="00A52DD9" w:rsidRDefault="00DF7DAF" w:rsidP="008E6E29">
      <w:pPr>
        <w:ind w:firstLine="709"/>
        <w:jc w:val="both"/>
        <w:rPr>
          <w:rFonts w:eastAsia="Calibri"/>
          <w:bCs/>
          <w:sz w:val="28"/>
          <w:szCs w:val="28"/>
          <w:lang w:eastAsia="en-US"/>
        </w:rPr>
      </w:pPr>
      <w:r w:rsidRPr="00A52DD9">
        <w:rPr>
          <w:rFonts w:eastAsia="Calibri"/>
          <w:bCs/>
          <w:sz w:val="28"/>
          <w:szCs w:val="28"/>
          <w:lang w:eastAsia="en-US"/>
        </w:rPr>
        <w:t>з</w:t>
      </w:r>
      <w:r w:rsidR="00FE3288" w:rsidRPr="00A52DD9">
        <w:rPr>
          <w:rFonts w:eastAsia="Calibri"/>
          <w:bCs/>
          <w:sz w:val="28"/>
          <w:szCs w:val="28"/>
          <w:lang w:eastAsia="en-US"/>
        </w:rPr>
        <w:t>)</w:t>
      </w:r>
      <w:r w:rsidR="00FE3288" w:rsidRPr="00A52DD9">
        <w:rPr>
          <w:rFonts w:eastAsia="Calibri"/>
          <w:bCs/>
          <w:sz w:val="28"/>
          <w:szCs w:val="28"/>
          <w:lang w:val="x-none" w:eastAsia="en-US"/>
        </w:rPr>
        <w:t xml:space="preserve"> против кори, краснухи и эпидемического паротита</w:t>
      </w:r>
      <w:r w:rsidR="00973BFC" w:rsidRPr="00A52DD9">
        <w:rPr>
          <w:rFonts w:eastAsia="Calibri"/>
          <w:bCs/>
          <w:sz w:val="28"/>
          <w:szCs w:val="28"/>
          <w:lang w:eastAsia="en-US"/>
        </w:rPr>
        <w:t xml:space="preserve"> детей в возрасте до</w:t>
      </w:r>
      <w:r w:rsidR="00773ABB">
        <w:rPr>
          <w:rFonts w:eastAsia="Calibri"/>
          <w:bCs/>
          <w:sz w:val="28"/>
          <w:szCs w:val="28"/>
          <w:lang w:eastAsia="en-US"/>
        </w:rPr>
        <w:t xml:space="preserve"> </w:t>
      </w:r>
      <w:r w:rsidR="00973BFC" w:rsidRPr="00A52DD9">
        <w:rPr>
          <w:rFonts w:eastAsia="Calibri"/>
          <w:bCs/>
          <w:sz w:val="28"/>
          <w:szCs w:val="28"/>
          <w:lang w:eastAsia="en-US"/>
        </w:rPr>
        <w:t>1 (одного) года: 2021 год – 74,3 процента, 2022 год – 81,0 процента, 2023 год – 82,8 процента, 2024 год –</w:t>
      </w:r>
      <w:r w:rsidR="00773ABB">
        <w:rPr>
          <w:rFonts w:eastAsia="Calibri"/>
          <w:bCs/>
          <w:sz w:val="28"/>
          <w:szCs w:val="28"/>
          <w:lang w:eastAsia="en-US"/>
        </w:rPr>
        <w:t xml:space="preserve"> </w:t>
      </w:r>
      <w:r w:rsidR="00973BFC" w:rsidRPr="00A52DD9">
        <w:rPr>
          <w:rFonts w:eastAsia="Calibri"/>
          <w:bCs/>
          <w:sz w:val="28"/>
          <w:szCs w:val="28"/>
          <w:lang w:eastAsia="en-US"/>
        </w:rPr>
        <w:t>82,1 процента, 2025 год – 77,5 процента;</w:t>
      </w:r>
      <w:r w:rsidR="00773ABB">
        <w:rPr>
          <w:rFonts w:eastAsia="Calibri"/>
          <w:bCs/>
          <w:sz w:val="28"/>
          <w:szCs w:val="28"/>
          <w:lang w:eastAsia="en-US"/>
        </w:rPr>
        <w:t xml:space="preserve"> </w:t>
      </w:r>
      <w:r w:rsidR="005D5C54">
        <w:rPr>
          <w:rFonts w:eastAsia="Calibri"/>
          <w:bCs/>
          <w:sz w:val="28"/>
          <w:szCs w:val="28"/>
          <w:lang w:eastAsia="en-US"/>
        </w:rPr>
        <w:br/>
      </w:r>
      <w:r w:rsidR="00FE3288" w:rsidRPr="00A52DD9">
        <w:rPr>
          <w:rFonts w:eastAsia="Calibri"/>
          <w:bCs/>
          <w:sz w:val="28"/>
          <w:szCs w:val="28"/>
          <w:lang w:val="x-none" w:eastAsia="en-US"/>
        </w:rPr>
        <w:t xml:space="preserve">I ревакцинацией детей в возрасте </w:t>
      </w:r>
      <w:r w:rsidR="007A261E" w:rsidRPr="00A52DD9">
        <w:rPr>
          <w:rFonts w:eastAsia="Calibri"/>
          <w:bCs/>
          <w:sz w:val="28"/>
          <w:szCs w:val="28"/>
          <w:lang w:eastAsia="en-US"/>
        </w:rPr>
        <w:t>до</w:t>
      </w:r>
      <w:r w:rsidR="007229F0" w:rsidRPr="00A52DD9">
        <w:rPr>
          <w:rFonts w:eastAsia="Calibri"/>
          <w:bCs/>
          <w:sz w:val="28"/>
          <w:szCs w:val="28"/>
          <w:lang w:eastAsia="en-US"/>
        </w:rPr>
        <w:t xml:space="preserve"> </w:t>
      </w:r>
      <w:r w:rsidR="00FE3288" w:rsidRPr="00A52DD9">
        <w:rPr>
          <w:rFonts w:eastAsia="Calibri"/>
          <w:bCs/>
          <w:sz w:val="28"/>
          <w:szCs w:val="28"/>
          <w:lang w:val="x-none" w:eastAsia="en-US"/>
        </w:rPr>
        <w:t xml:space="preserve">7 </w:t>
      </w:r>
      <w:r w:rsidR="002E4D80" w:rsidRPr="00A52DD9">
        <w:rPr>
          <w:rFonts w:eastAsia="Calibri"/>
          <w:bCs/>
          <w:sz w:val="28"/>
          <w:szCs w:val="28"/>
          <w:lang w:eastAsia="en-US"/>
        </w:rPr>
        <w:t xml:space="preserve">(семи) </w:t>
      </w:r>
      <w:r w:rsidR="00FE3288" w:rsidRPr="00A52DD9">
        <w:rPr>
          <w:rFonts w:eastAsia="Calibri"/>
          <w:bCs/>
          <w:sz w:val="28"/>
          <w:szCs w:val="28"/>
          <w:lang w:val="x-none" w:eastAsia="en-US"/>
        </w:rPr>
        <w:t>лет</w:t>
      </w:r>
      <w:r w:rsidR="00973BFC" w:rsidRPr="00A52DD9">
        <w:rPr>
          <w:rFonts w:eastAsia="Calibri"/>
          <w:bCs/>
          <w:sz w:val="28"/>
          <w:szCs w:val="28"/>
          <w:lang w:val="x-none" w:eastAsia="en-US"/>
        </w:rPr>
        <w:t>: 2021 год – 7</w:t>
      </w:r>
      <w:r w:rsidR="00973BFC" w:rsidRPr="00A52DD9">
        <w:rPr>
          <w:rFonts w:eastAsia="Calibri"/>
          <w:bCs/>
          <w:sz w:val="28"/>
          <w:szCs w:val="28"/>
          <w:lang w:eastAsia="en-US"/>
        </w:rPr>
        <w:t>9,5</w:t>
      </w:r>
      <w:r w:rsidR="00973BFC" w:rsidRPr="00A52DD9">
        <w:rPr>
          <w:rFonts w:eastAsia="Calibri"/>
          <w:bCs/>
          <w:sz w:val="28"/>
          <w:szCs w:val="28"/>
          <w:lang w:val="x-none" w:eastAsia="en-US"/>
        </w:rPr>
        <w:t xml:space="preserve"> процента, 2022 год – </w:t>
      </w:r>
      <w:r w:rsidR="00973BFC" w:rsidRPr="00A52DD9">
        <w:rPr>
          <w:rFonts w:eastAsia="Calibri"/>
          <w:bCs/>
          <w:sz w:val="28"/>
          <w:szCs w:val="28"/>
          <w:lang w:eastAsia="en-US"/>
        </w:rPr>
        <w:t>88,7</w:t>
      </w:r>
      <w:r w:rsidR="00973BFC" w:rsidRPr="00A52DD9">
        <w:rPr>
          <w:rFonts w:eastAsia="Calibri"/>
          <w:bCs/>
          <w:sz w:val="28"/>
          <w:szCs w:val="28"/>
          <w:lang w:val="x-none" w:eastAsia="en-US"/>
        </w:rPr>
        <w:t xml:space="preserve"> процента, 2023 год – </w:t>
      </w:r>
      <w:r w:rsidR="00973BFC" w:rsidRPr="00A52DD9">
        <w:rPr>
          <w:rFonts w:eastAsia="Calibri"/>
          <w:bCs/>
          <w:sz w:val="28"/>
          <w:szCs w:val="28"/>
          <w:lang w:eastAsia="en-US"/>
        </w:rPr>
        <w:t>91,2</w:t>
      </w:r>
      <w:r w:rsidR="00973BFC" w:rsidRPr="00A52DD9">
        <w:rPr>
          <w:rFonts w:eastAsia="Calibri"/>
          <w:bCs/>
          <w:sz w:val="28"/>
          <w:szCs w:val="28"/>
          <w:lang w:val="x-none" w:eastAsia="en-US"/>
        </w:rPr>
        <w:t xml:space="preserve"> процента, 2024 год –</w:t>
      </w:r>
      <w:r w:rsidR="00773ABB">
        <w:rPr>
          <w:rFonts w:eastAsia="Calibri"/>
          <w:bCs/>
          <w:sz w:val="28"/>
          <w:szCs w:val="28"/>
          <w:lang w:val="x-none" w:eastAsia="en-US"/>
        </w:rPr>
        <w:t xml:space="preserve"> </w:t>
      </w:r>
      <w:r w:rsidR="00973BFC" w:rsidRPr="00A52DD9">
        <w:rPr>
          <w:rFonts w:eastAsia="Calibri"/>
          <w:bCs/>
          <w:sz w:val="28"/>
          <w:szCs w:val="28"/>
          <w:lang w:eastAsia="en-US"/>
        </w:rPr>
        <w:t>87,8</w:t>
      </w:r>
      <w:r w:rsidR="00973BFC" w:rsidRPr="00A52DD9">
        <w:rPr>
          <w:rFonts w:eastAsia="Calibri"/>
          <w:bCs/>
          <w:sz w:val="28"/>
          <w:szCs w:val="28"/>
          <w:lang w:val="x-none" w:eastAsia="en-US"/>
        </w:rPr>
        <w:t xml:space="preserve"> процента, 2025 год – </w:t>
      </w:r>
      <w:r w:rsidR="00973BFC" w:rsidRPr="00A52DD9">
        <w:rPr>
          <w:rFonts w:eastAsia="Calibri"/>
          <w:bCs/>
          <w:sz w:val="28"/>
          <w:szCs w:val="28"/>
          <w:lang w:eastAsia="en-US"/>
        </w:rPr>
        <w:t>91,5</w:t>
      </w:r>
      <w:r w:rsidR="00973BFC" w:rsidRPr="00A52DD9">
        <w:rPr>
          <w:rFonts w:eastAsia="Calibri"/>
          <w:bCs/>
          <w:sz w:val="28"/>
          <w:szCs w:val="28"/>
          <w:lang w:val="x-none" w:eastAsia="en-US"/>
        </w:rPr>
        <w:t xml:space="preserve"> процента;</w:t>
      </w:r>
      <w:r w:rsidR="008E6E29" w:rsidRPr="00A52DD9">
        <w:rPr>
          <w:rFonts w:eastAsia="Calibri"/>
          <w:bCs/>
          <w:sz w:val="28"/>
          <w:szCs w:val="28"/>
          <w:lang w:eastAsia="en-US"/>
        </w:rPr>
        <w:t xml:space="preserve"> </w:t>
      </w:r>
      <w:r w:rsidR="00784EBE" w:rsidRPr="00A52DD9">
        <w:rPr>
          <w:rFonts w:eastAsia="Calibri"/>
          <w:bCs/>
          <w:sz w:val="28"/>
          <w:szCs w:val="28"/>
          <w:lang w:val="x-none" w:eastAsia="en-US"/>
        </w:rPr>
        <w:t>II</w:t>
      </w:r>
      <w:r w:rsidR="00FE3288" w:rsidRPr="00A52DD9">
        <w:rPr>
          <w:rFonts w:eastAsia="Calibri"/>
          <w:bCs/>
          <w:sz w:val="28"/>
          <w:szCs w:val="28"/>
          <w:lang w:val="x-none" w:eastAsia="en-US"/>
        </w:rPr>
        <w:t xml:space="preserve"> ревакцинацией </w:t>
      </w:r>
      <w:r w:rsidR="00973BFC" w:rsidRPr="00A52DD9">
        <w:rPr>
          <w:rFonts w:eastAsia="Calibri"/>
          <w:bCs/>
          <w:sz w:val="28"/>
          <w:szCs w:val="28"/>
          <w:lang w:eastAsia="en-US"/>
        </w:rPr>
        <w:t xml:space="preserve">детей </w:t>
      </w:r>
      <w:r w:rsidR="00FE3288" w:rsidRPr="00A52DD9">
        <w:rPr>
          <w:rFonts w:eastAsia="Calibri"/>
          <w:bCs/>
          <w:sz w:val="28"/>
          <w:szCs w:val="28"/>
          <w:lang w:val="x-none" w:eastAsia="en-US"/>
        </w:rPr>
        <w:t>в возрасте</w:t>
      </w:r>
      <w:r w:rsidR="00AE7CCC" w:rsidRPr="00A52DD9">
        <w:rPr>
          <w:rFonts w:eastAsia="Calibri"/>
          <w:bCs/>
          <w:sz w:val="28"/>
          <w:szCs w:val="28"/>
          <w:lang w:eastAsia="en-US"/>
        </w:rPr>
        <w:t xml:space="preserve"> до</w:t>
      </w:r>
      <w:r w:rsidR="00FE3288" w:rsidRPr="00A52DD9">
        <w:rPr>
          <w:rFonts w:eastAsia="Calibri"/>
          <w:bCs/>
          <w:sz w:val="28"/>
          <w:szCs w:val="28"/>
          <w:lang w:val="x-none" w:eastAsia="en-US"/>
        </w:rPr>
        <w:t xml:space="preserve"> 15 </w:t>
      </w:r>
      <w:r w:rsidR="002E4D80" w:rsidRPr="00A52DD9">
        <w:rPr>
          <w:rFonts w:eastAsia="Calibri"/>
          <w:bCs/>
          <w:sz w:val="28"/>
          <w:szCs w:val="28"/>
          <w:lang w:eastAsia="en-US"/>
        </w:rPr>
        <w:t xml:space="preserve">(пятнадцати) </w:t>
      </w:r>
      <w:r w:rsidR="00973BFC" w:rsidRPr="00A52DD9">
        <w:rPr>
          <w:rFonts w:eastAsia="Calibri"/>
          <w:bCs/>
          <w:sz w:val="28"/>
          <w:szCs w:val="28"/>
          <w:lang w:val="x-none" w:eastAsia="en-US"/>
        </w:rPr>
        <w:t>лет</w:t>
      </w:r>
      <w:r w:rsidR="00973BFC" w:rsidRPr="00A52DD9">
        <w:rPr>
          <w:rFonts w:eastAsia="Calibri"/>
          <w:bCs/>
          <w:sz w:val="28"/>
          <w:szCs w:val="28"/>
          <w:lang w:eastAsia="en-US"/>
        </w:rPr>
        <w:t xml:space="preserve">: 2021 год – </w:t>
      </w:r>
      <w:r w:rsidR="006D2687" w:rsidRPr="00A52DD9">
        <w:rPr>
          <w:rFonts w:eastAsia="Calibri"/>
          <w:bCs/>
          <w:sz w:val="28"/>
          <w:szCs w:val="28"/>
          <w:lang w:eastAsia="en-US"/>
        </w:rPr>
        <w:t>82,2</w:t>
      </w:r>
      <w:r w:rsidR="00973BFC" w:rsidRPr="00A52DD9">
        <w:rPr>
          <w:rFonts w:eastAsia="Calibri"/>
          <w:bCs/>
          <w:sz w:val="28"/>
          <w:szCs w:val="28"/>
          <w:lang w:eastAsia="en-US"/>
        </w:rPr>
        <w:t xml:space="preserve"> процента, 2022 год – </w:t>
      </w:r>
      <w:r w:rsidR="006D2687" w:rsidRPr="00A52DD9">
        <w:rPr>
          <w:rFonts w:eastAsia="Calibri"/>
          <w:bCs/>
          <w:sz w:val="28"/>
          <w:szCs w:val="28"/>
          <w:lang w:eastAsia="en-US"/>
        </w:rPr>
        <w:t>90,4</w:t>
      </w:r>
      <w:r w:rsidR="00973BFC" w:rsidRPr="00A52DD9">
        <w:rPr>
          <w:rFonts w:eastAsia="Calibri"/>
          <w:bCs/>
          <w:sz w:val="28"/>
          <w:szCs w:val="28"/>
          <w:lang w:eastAsia="en-US"/>
        </w:rPr>
        <w:t xml:space="preserve"> процента,</w:t>
      </w:r>
      <w:r w:rsidR="00773ABB">
        <w:rPr>
          <w:rFonts w:eastAsia="Calibri"/>
          <w:bCs/>
          <w:sz w:val="28"/>
          <w:szCs w:val="28"/>
          <w:lang w:eastAsia="en-US"/>
        </w:rPr>
        <w:t xml:space="preserve"> </w:t>
      </w:r>
      <w:r w:rsidR="00973BFC" w:rsidRPr="00A52DD9">
        <w:rPr>
          <w:rFonts w:eastAsia="Calibri"/>
          <w:bCs/>
          <w:sz w:val="28"/>
          <w:szCs w:val="28"/>
          <w:lang w:eastAsia="en-US"/>
        </w:rPr>
        <w:t xml:space="preserve">2023 год – </w:t>
      </w:r>
      <w:r w:rsidR="005D5C54">
        <w:rPr>
          <w:rFonts w:eastAsia="Calibri"/>
          <w:bCs/>
          <w:sz w:val="28"/>
          <w:szCs w:val="28"/>
          <w:lang w:eastAsia="en-US"/>
        </w:rPr>
        <w:br/>
      </w:r>
      <w:r w:rsidR="006D2687" w:rsidRPr="00A52DD9">
        <w:rPr>
          <w:rFonts w:eastAsia="Calibri"/>
          <w:bCs/>
          <w:sz w:val="28"/>
          <w:szCs w:val="28"/>
          <w:lang w:eastAsia="en-US"/>
        </w:rPr>
        <w:t>89,4</w:t>
      </w:r>
      <w:r w:rsidR="00973BFC" w:rsidRPr="00A52DD9">
        <w:rPr>
          <w:rFonts w:eastAsia="Calibri"/>
          <w:bCs/>
          <w:sz w:val="28"/>
          <w:szCs w:val="28"/>
          <w:lang w:eastAsia="en-US"/>
        </w:rPr>
        <w:t xml:space="preserve"> процента, 2024 год –</w:t>
      </w:r>
      <w:r w:rsidR="00773ABB">
        <w:rPr>
          <w:rFonts w:eastAsia="Calibri"/>
          <w:bCs/>
          <w:sz w:val="28"/>
          <w:szCs w:val="28"/>
          <w:lang w:eastAsia="en-US"/>
        </w:rPr>
        <w:t xml:space="preserve"> </w:t>
      </w:r>
      <w:r w:rsidR="006D2687" w:rsidRPr="00A52DD9">
        <w:rPr>
          <w:rFonts w:eastAsia="Calibri"/>
          <w:bCs/>
          <w:sz w:val="28"/>
          <w:szCs w:val="28"/>
          <w:lang w:eastAsia="en-US"/>
        </w:rPr>
        <w:t>93,1</w:t>
      </w:r>
      <w:r w:rsidR="00973BFC" w:rsidRPr="00A52DD9">
        <w:rPr>
          <w:rFonts w:eastAsia="Calibri"/>
          <w:bCs/>
          <w:sz w:val="28"/>
          <w:szCs w:val="28"/>
          <w:lang w:eastAsia="en-US"/>
        </w:rPr>
        <w:t xml:space="preserve"> процента, 2025 год – </w:t>
      </w:r>
      <w:r w:rsidR="006D2687" w:rsidRPr="00A52DD9">
        <w:rPr>
          <w:rFonts w:eastAsia="Calibri"/>
          <w:bCs/>
          <w:sz w:val="28"/>
          <w:szCs w:val="28"/>
          <w:lang w:eastAsia="en-US"/>
        </w:rPr>
        <w:t>93,1</w:t>
      </w:r>
      <w:r w:rsidR="00973BFC" w:rsidRPr="00A52DD9">
        <w:rPr>
          <w:rFonts w:eastAsia="Calibri"/>
          <w:bCs/>
          <w:sz w:val="28"/>
          <w:szCs w:val="28"/>
          <w:lang w:eastAsia="en-US"/>
        </w:rPr>
        <w:t xml:space="preserve"> процента;</w:t>
      </w:r>
    </w:p>
    <w:p w:rsidR="00FE3288" w:rsidRPr="00A52DD9" w:rsidRDefault="00DF7DAF" w:rsidP="006D2687">
      <w:pPr>
        <w:ind w:firstLine="709"/>
        <w:jc w:val="both"/>
        <w:rPr>
          <w:rFonts w:eastAsia="Calibri"/>
          <w:bCs/>
          <w:sz w:val="28"/>
          <w:szCs w:val="28"/>
          <w:lang w:eastAsia="en-US"/>
        </w:rPr>
      </w:pPr>
      <w:r w:rsidRPr="00A52DD9">
        <w:rPr>
          <w:rFonts w:eastAsia="Calibri"/>
          <w:bCs/>
          <w:sz w:val="28"/>
          <w:szCs w:val="28"/>
          <w:lang w:eastAsia="en-US"/>
        </w:rPr>
        <w:t>и</w:t>
      </w:r>
      <w:r w:rsidR="00FE3288" w:rsidRPr="00A52DD9">
        <w:rPr>
          <w:rFonts w:eastAsia="Calibri"/>
          <w:bCs/>
          <w:sz w:val="28"/>
          <w:szCs w:val="28"/>
          <w:lang w:eastAsia="en-US"/>
        </w:rPr>
        <w:t>)</w:t>
      </w:r>
      <w:r w:rsidR="00FE3288" w:rsidRPr="00A52DD9">
        <w:rPr>
          <w:rFonts w:eastAsia="Calibri"/>
          <w:bCs/>
          <w:sz w:val="28"/>
          <w:szCs w:val="28"/>
          <w:lang w:val="x-none" w:eastAsia="en-US"/>
        </w:rPr>
        <w:t xml:space="preserve"> против дифтерии и столбняка взрослого населения</w:t>
      </w:r>
      <w:r w:rsidR="006D2687" w:rsidRPr="00A52DD9">
        <w:rPr>
          <w:rFonts w:eastAsia="Calibri"/>
          <w:bCs/>
          <w:sz w:val="28"/>
          <w:szCs w:val="28"/>
          <w:lang w:eastAsia="en-US"/>
        </w:rPr>
        <w:t xml:space="preserve">: 2021 год – </w:t>
      </w:r>
      <w:r w:rsidR="00C55E13">
        <w:rPr>
          <w:rFonts w:eastAsia="Calibri"/>
          <w:bCs/>
          <w:sz w:val="28"/>
          <w:szCs w:val="28"/>
          <w:lang w:eastAsia="en-US"/>
        </w:rPr>
        <w:br/>
      </w:r>
      <w:r w:rsidR="006D2687" w:rsidRPr="00A52DD9">
        <w:rPr>
          <w:rFonts w:eastAsia="Calibri"/>
          <w:bCs/>
          <w:sz w:val="28"/>
          <w:szCs w:val="28"/>
          <w:lang w:eastAsia="en-US"/>
        </w:rPr>
        <w:t xml:space="preserve">81,5 процента, 2022 год – 75,2 </w:t>
      </w:r>
      <w:r w:rsidR="002049D3" w:rsidRPr="00A52DD9">
        <w:rPr>
          <w:rFonts w:eastAsia="Calibri"/>
          <w:bCs/>
          <w:sz w:val="28"/>
          <w:szCs w:val="28"/>
          <w:lang w:eastAsia="en-US"/>
        </w:rPr>
        <w:t>процента, 2023</w:t>
      </w:r>
      <w:r w:rsidR="006D2687" w:rsidRPr="00A52DD9">
        <w:rPr>
          <w:rFonts w:eastAsia="Calibri"/>
          <w:bCs/>
          <w:sz w:val="28"/>
          <w:szCs w:val="28"/>
          <w:lang w:eastAsia="en-US"/>
        </w:rPr>
        <w:t xml:space="preserve"> год – 95,5 процента, 2024 год –</w:t>
      </w:r>
      <w:r w:rsidR="00773ABB">
        <w:rPr>
          <w:rFonts w:eastAsia="Calibri"/>
          <w:bCs/>
          <w:sz w:val="28"/>
          <w:szCs w:val="28"/>
          <w:lang w:eastAsia="en-US"/>
        </w:rPr>
        <w:t xml:space="preserve"> </w:t>
      </w:r>
      <w:r w:rsidR="006D2687" w:rsidRPr="00A52DD9">
        <w:rPr>
          <w:rFonts w:eastAsia="Calibri"/>
          <w:bCs/>
          <w:sz w:val="28"/>
          <w:szCs w:val="28"/>
          <w:lang w:eastAsia="en-US"/>
        </w:rPr>
        <w:t>98,1 процента, 2025 год – 90,6 процента.</w:t>
      </w:r>
    </w:p>
    <w:p w:rsidR="006D2687" w:rsidRPr="00A52DD9" w:rsidRDefault="006D2687" w:rsidP="006D2687">
      <w:pPr>
        <w:ind w:firstLine="709"/>
        <w:jc w:val="both"/>
        <w:rPr>
          <w:rFonts w:eastAsia="Calibri"/>
          <w:bCs/>
          <w:sz w:val="28"/>
          <w:szCs w:val="28"/>
          <w:lang w:eastAsia="en-US"/>
        </w:rPr>
      </w:pPr>
      <w:r w:rsidRPr="00A52DD9">
        <w:rPr>
          <w:rFonts w:eastAsia="Calibri"/>
          <w:bCs/>
          <w:sz w:val="28"/>
          <w:szCs w:val="28"/>
          <w:lang w:eastAsia="en-US"/>
        </w:rPr>
        <w:t>За 2021</w:t>
      </w:r>
      <w:r w:rsidR="00821091">
        <w:rPr>
          <w:rFonts w:eastAsia="Calibri"/>
          <w:bCs/>
          <w:sz w:val="28"/>
          <w:szCs w:val="28"/>
          <w:lang w:eastAsia="en-US"/>
        </w:rPr>
        <w:t>–</w:t>
      </w:r>
      <w:r w:rsidRPr="00A52DD9">
        <w:rPr>
          <w:rFonts w:eastAsia="Calibri"/>
          <w:bCs/>
          <w:sz w:val="28"/>
          <w:szCs w:val="28"/>
          <w:lang w:eastAsia="en-US"/>
        </w:rPr>
        <w:t>2025 годы реализация Программы позволила добиться охвата детского населения профилактическими прививками против 10 (десяти) инфекций (туберкулеза, гепатита В, коклюша, дифтерии, столбняка, гемофильной инфекции, полиомиелита, кори, краснухи, эпидемического паротита), обеспечить раннюю и качественную диагностику кори, краснухи, эпидемического паротита и своевременное проведение профилактических и противоэпидемических мероприятий.</w:t>
      </w:r>
    </w:p>
    <w:p w:rsidR="002049D3" w:rsidRPr="00A52DD9" w:rsidRDefault="008E6E29" w:rsidP="002049D3">
      <w:pPr>
        <w:ind w:firstLine="709"/>
        <w:jc w:val="both"/>
        <w:rPr>
          <w:rFonts w:eastAsia="Calibri"/>
          <w:bCs/>
          <w:sz w:val="28"/>
          <w:szCs w:val="28"/>
          <w:lang w:eastAsia="en-US"/>
        </w:rPr>
      </w:pPr>
      <w:r w:rsidRPr="00A52DD9">
        <w:rPr>
          <w:rFonts w:eastAsia="Calibri"/>
          <w:bCs/>
          <w:sz w:val="28"/>
          <w:szCs w:val="28"/>
          <w:lang w:eastAsia="en-US"/>
        </w:rPr>
        <w:t xml:space="preserve">Реализация Программы позволила поддержать </w:t>
      </w:r>
      <w:r w:rsidR="00AC1CF9" w:rsidRPr="00A52DD9">
        <w:rPr>
          <w:rFonts w:eastAsia="Calibri"/>
          <w:bCs/>
          <w:sz w:val="28"/>
          <w:szCs w:val="28"/>
          <w:lang w:eastAsia="en-US"/>
        </w:rPr>
        <w:t xml:space="preserve">низкие уровни </w:t>
      </w:r>
      <w:r w:rsidRPr="00A52DD9">
        <w:rPr>
          <w:rFonts w:eastAsia="Calibri"/>
          <w:bCs/>
          <w:sz w:val="28"/>
          <w:szCs w:val="28"/>
          <w:lang w:eastAsia="en-US"/>
        </w:rPr>
        <w:t>заболеваемост</w:t>
      </w:r>
      <w:r w:rsidR="00AC1CF9" w:rsidRPr="00A52DD9">
        <w:rPr>
          <w:rFonts w:eastAsia="Calibri"/>
          <w:bCs/>
          <w:sz w:val="28"/>
          <w:szCs w:val="28"/>
          <w:lang w:eastAsia="en-US"/>
        </w:rPr>
        <w:t>и</w:t>
      </w:r>
      <w:r w:rsidR="00AE3A41" w:rsidRPr="00A52DD9">
        <w:rPr>
          <w:rFonts w:eastAsia="Calibri"/>
          <w:bCs/>
          <w:sz w:val="28"/>
          <w:szCs w:val="28"/>
          <w:lang w:eastAsia="en-US"/>
        </w:rPr>
        <w:t xml:space="preserve">: </w:t>
      </w:r>
    </w:p>
    <w:p w:rsidR="002049D3" w:rsidRPr="00A52DD9" w:rsidRDefault="00AC1CF9" w:rsidP="00AC1CF9">
      <w:pPr>
        <w:ind w:firstLine="567"/>
        <w:jc w:val="both"/>
        <w:rPr>
          <w:sz w:val="28"/>
          <w:szCs w:val="28"/>
        </w:rPr>
      </w:pPr>
      <w:r w:rsidRPr="00A52DD9">
        <w:rPr>
          <w:rFonts w:eastAsia="Calibri"/>
          <w:bCs/>
          <w:sz w:val="28"/>
          <w:szCs w:val="28"/>
          <w:lang w:eastAsia="en-US"/>
        </w:rPr>
        <w:t xml:space="preserve">а) </w:t>
      </w:r>
      <w:r w:rsidR="008E6E29" w:rsidRPr="00A52DD9">
        <w:rPr>
          <w:rFonts w:eastAsia="Calibri"/>
          <w:bCs/>
          <w:sz w:val="28"/>
          <w:szCs w:val="28"/>
          <w:lang w:eastAsia="en-US"/>
        </w:rPr>
        <w:t xml:space="preserve">коклюшем </w:t>
      </w:r>
      <w:r w:rsidR="00AE3A41" w:rsidRPr="00A52DD9">
        <w:rPr>
          <w:rFonts w:eastAsia="Calibri"/>
          <w:bCs/>
          <w:sz w:val="28"/>
          <w:szCs w:val="28"/>
          <w:lang w:eastAsia="en-US"/>
        </w:rPr>
        <w:t>в пределах от 0 до 27,1 случая на 100</w:t>
      </w:r>
      <w:r w:rsidR="00AE3A41" w:rsidRPr="00A52DD9">
        <w:rPr>
          <w:sz w:val="28"/>
          <w:szCs w:val="28"/>
        </w:rPr>
        <w:t xml:space="preserve"> </w:t>
      </w:r>
      <w:r w:rsidR="00AE3A41" w:rsidRPr="00A52DD9">
        <w:rPr>
          <w:rFonts w:eastAsia="Calibri"/>
          <w:bCs/>
          <w:sz w:val="28"/>
          <w:szCs w:val="28"/>
          <w:lang w:eastAsia="en-US"/>
        </w:rPr>
        <w:t>тысяч населения</w:t>
      </w:r>
      <w:r w:rsidR="00B41F8A" w:rsidRPr="00A52DD9">
        <w:rPr>
          <w:rFonts w:eastAsia="Calibri"/>
          <w:bCs/>
          <w:sz w:val="28"/>
          <w:szCs w:val="28"/>
          <w:lang w:eastAsia="en-US"/>
        </w:rPr>
        <w:t xml:space="preserve"> </w:t>
      </w:r>
      <w:r w:rsidR="005D5C54">
        <w:rPr>
          <w:rFonts w:eastAsia="Calibri"/>
          <w:bCs/>
          <w:sz w:val="28"/>
          <w:szCs w:val="28"/>
          <w:lang w:eastAsia="en-US"/>
        </w:rPr>
        <w:br/>
      </w:r>
      <w:r w:rsidR="00B41F8A" w:rsidRPr="00A52DD9">
        <w:rPr>
          <w:rFonts w:eastAsia="Calibri"/>
          <w:bCs/>
          <w:sz w:val="28"/>
          <w:szCs w:val="28"/>
          <w:lang w:eastAsia="en-US"/>
        </w:rPr>
        <w:t>(2025 год – 4 случая, 2024 год – 123 случая, 2023 год – 49 случаев, 2</w:t>
      </w:r>
      <w:r w:rsidR="002049D3" w:rsidRPr="00A52DD9">
        <w:rPr>
          <w:rFonts w:eastAsia="Calibri"/>
          <w:bCs/>
          <w:sz w:val="28"/>
          <w:szCs w:val="28"/>
          <w:lang w:eastAsia="en-US"/>
        </w:rPr>
        <w:t xml:space="preserve">022 год – 0 случаев, 2021 год – </w:t>
      </w:r>
      <w:r w:rsidR="00B41F8A" w:rsidRPr="00A52DD9">
        <w:rPr>
          <w:rFonts w:eastAsia="Calibri"/>
          <w:bCs/>
          <w:sz w:val="28"/>
          <w:szCs w:val="28"/>
          <w:lang w:eastAsia="en-US"/>
        </w:rPr>
        <w:t>0 случаев)</w:t>
      </w:r>
      <w:r w:rsidR="002049D3" w:rsidRPr="00A52DD9">
        <w:rPr>
          <w:rFonts w:eastAsia="Calibri"/>
          <w:bCs/>
          <w:sz w:val="28"/>
          <w:szCs w:val="28"/>
          <w:lang w:eastAsia="en-US"/>
        </w:rPr>
        <w:t>;</w:t>
      </w:r>
    </w:p>
    <w:p w:rsidR="002049D3" w:rsidRPr="00A52DD9" w:rsidRDefault="00AC1CF9" w:rsidP="00AC1CF9">
      <w:pPr>
        <w:ind w:firstLine="567"/>
        <w:jc w:val="both"/>
        <w:rPr>
          <w:sz w:val="28"/>
          <w:szCs w:val="28"/>
        </w:rPr>
      </w:pPr>
      <w:r w:rsidRPr="00A52DD9">
        <w:rPr>
          <w:sz w:val="28"/>
          <w:szCs w:val="28"/>
        </w:rPr>
        <w:t xml:space="preserve">б) </w:t>
      </w:r>
      <w:r w:rsidR="002A5FB3" w:rsidRPr="00A52DD9">
        <w:rPr>
          <w:sz w:val="28"/>
          <w:szCs w:val="28"/>
        </w:rPr>
        <w:t xml:space="preserve">корью в пределах от 0 до </w:t>
      </w:r>
      <w:r w:rsidR="00910623" w:rsidRPr="00A52DD9">
        <w:rPr>
          <w:sz w:val="28"/>
          <w:szCs w:val="28"/>
        </w:rPr>
        <w:t>1,33</w:t>
      </w:r>
      <w:r w:rsidR="002A5FB3" w:rsidRPr="00A52DD9">
        <w:rPr>
          <w:sz w:val="28"/>
          <w:szCs w:val="28"/>
        </w:rPr>
        <w:t xml:space="preserve"> случая на 100 тысяч </w:t>
      </w:r>
      <w:r w:rsidR="002049D3" w:rsidRPr="00A52DD9">
        <w:rPr>
          <w:sz w:val="28"/>
          <w:szCs w:val="28"/>
        </w:rPr>
        <w:t xml:space="preserve">населения </w:t>
      </w:r>
      <w:r w:rsidR="000E7DCE">
        <w:rPr>
          <w:sz w:val="28"/>
          <w:szCs w:val="28"/>
        </w:rPr>
        <w:br/>
      </w:r>
      <w:r w:rsidR="002049D3" w:rsidRPr="00A52DD9">
        <w:rPr>
          <w:sz w:val="28"/>
          <w:szCs w:val="28"/>
        </w:rPr>
        <w:t>(</w:t>
      </w:r>
      <w:r w:rsidR="00B41F8A" w:rsidRPr="00A52DD9">
        <w:rPr>
          <w:sz w:val="28"/>
          <w:szCs w:val="28"/>
        </w:rPr>
        <w:t>2025 год – 6 случаев, 2024 год – 1 случай, 2023 год – 0 случаев, 2022 год –</w:t>
      </w:r>
      <w:r w:rsidR="002049D3" w:rsidRPr="00A52DD9">
        <w:rPr>
          <w:sz w:val="28"/>
          <w:szCs w:val="28"/>
        </w:rPr>
        <w:t xml:space="preserve"> </w:t>
      </w:r>
      <w:r w:rsidR="004877AB">
        <w:rPr>
          <w:sz w:val="28"/>
          <w:szCs w:val="28"/>
        </w:rPr>
        <w:br/>
      </w:r>
      <w:r w:rsidR="00B41F8A" w:rsidRPr="00A52DD9">
        <w:rPr>
          <w:sz w:val="28"/>
          <w:szCs w:val="28"/>
        </w:rPr>
        <w:t>0 случаев, 2021 год – 0 случаев)</w:t>
      </w:r>
      <w:r w:rsidR="002049D3" w:rsidRPr="00A52DD9">
        <w:rPr>
          <w:sz w:val="28"/>
          <w:szCs w:val="28"/>
        </w:rPr>
        <w:t>;</w:t>
      </w:r>
      <w:r w:rsidR="002A5FB3" w:rsidRPr="00A52DD9">
        <w:rPr>
          <w:sz w:val="28"/>
          <w:szCs w:val="28"/>
        </w:rPr>
        <w:t xml:space="preserve"> </w:t>
      </w:r>
    </w:p>
    <w:p w:rsidR="002049D3" w:rsidRPr="00A52DD9" w:rsidRDefault="00AC1CF9" w:rsidP="00AC1CF9">
      <w:pPr>
        <w:ind w:firstLine="567"/>
        <w:jc w:val="both"/>
        <w:rPr>
          <w:sz w:val="28"/>
          <w:szCs w:val="28"/>
        </w:rPr>
      </w:pPr>
      <w:r w:rsidRPr="00A52DD9">
        <w:rPr>
          <w:sz w:val="28"/>
          <w:szCs w:val="28"/>
        </w:rPr>
        <w:t xml:space="preserve">в) </w:t>
      </w:r>
      <w:r w:rsidR="002A5FB3" w:rsidRPr="00A52DD9">
        <w:rPr>
          <w:sz w:val="28"/>
          <w:szCs w:val="28"/>
        </w:rPr>
        <w:t>эпидемическим паротитом в пределах от 0,2 до 1,54 случая на 100 тысяч населения</w:t>
      </w:r>
      <w:r w:rsidR="00B41F8A" w:rsidRPr="00A52DD9">
        <w:rPr>
          <w:sz w:val="28"/>
          <w:szCs w:val="28"/>
        </w:rPr>
        <w:t xml:space="preserve"> (2025 год – 4 случая, 2024 год – 7 случаев, 2023 год – 4 случая, </w:t>
      </w:r>
      <w:r w:rsidR="005D5C54">
        <w:rPr>
          <w:sz w:val="28"/>
          <w:szCs w:val="28"/>
        </w:rPr>
        <w:br/>
      </w:r>
      <w:r w:rsidR="00B41F8A" w:rsidRPr="00A52DD9">
        <w:rPr>
          <w:sz w:val="28"/>
          <w:szCs w:val="28"/>
        </w:rPr>
        <w:t>2022 год – 6 случаев,</w:t>
      </w:r>
      <w:r w:rsidR="007229F0" w:rsidRPr="00A52DD9">
        <w:rPr>
          <w:sz w:val="28"/>
          <w:szCs w:val="28"/>
        </w:rPr>
        <w:t xml:space="preserve"> 2021 год – </w:t>
      </w:r>
      <w:r w:rsidR="00B41F8A" w:rsidRPr="00A52DD9">
        <w:rPr>
          <w:sz w:val="28"/>
          <w:szCs w:val="28"/>
        </w:rPr>
        <w:t>1 случай)</w:t>
      </w:r>
      <w:r w:rsidR="002049D3" w:rsidRPr="00A52DD9">
        <w:rPr>
          <w:sz w:val="28"/>
          <w:szCs w:val="28"/>
        </w:rPr>
        <w:t>;</w:t>
      </w:r>
      <w:r w:rsidR="002A5FB3" w:rsidRPr="00A52DD9">
        <w:rPr>
          <w:sz w:val="28"/>
          <w:szCs w:val="28"/>
        </w:rPr>
        <w:t xml:space="preserve"> </w:t>
      </w:r>
    </w:p>
    <w:p w:rsidR="002049D3" w:rsidRPr="00A52DD9" w:rsidRDefault="00AC1CF9" w:rsidP="00AC1CF9">
      <w:pPr>
        <w:pStyle w:val="a9"/>
        <w:ind w:left="0" w:firstLine="567"/>
        <w:jc w:val="both"/>
        <w:rPr>
          <w:rFonts w:eastAsia="Calibri"/>
          <w:bCs/>
          <w:sz w:val="28"/>
          <w:szCs w:val="28"/>
          <w:lang w:eastAsia="en-US"/>
        </w:rPr>
      </w:pPr>
      <w:r w:rsidRPr="00A52DD9">
        <w:rPr>
          <w:sz w:val="28"/>
          <w:szCs w:val="28"/>
        </w:rPr>
        <w:t xml:space="preserve">г) </w:t>
      </w:r>
      <w:r w:rsidR="002A5FB3" w:rsidRPr="00A52DD9">
        <w:rPr>
          <w:sz w:val="28"/>
          <w:szCs w:val="28"/>
        </w:rPr>
        <w:t xml:space="preserve">туберкулезом </w:t>
      </w:r>
      <w:r w:rsidR="002A5FB3" w:rsidRPr="00A52DD9">
        <w:rPr>
          <w:rFonts w:eastAsia="Calibri"/>
          <w:bCs/>
          <w:sz w:val="28"/>
          <w:szCs w:val="28"/>
          <w:lang w:eastAsia="en-US"/>
        </w:rPr>
        <w:t xml:space="preserve">органов дыхания среди детей </w:t>
      </w:r>
      <w:r w:rsidR="002A5FB3" w:rsidRPr="00A52DD9">
        <w:rPr>
          <w:sz w:val="28"/>
          <w:szCs w:val="28"/>
        </w:rPr>
        <w:t>в пре</w:t>
      </w:r>
      <w:r w:rsidR="00FC583B" w:rsidRPr="00A52DD9">
        <w:rPr>
          <w:sz w:val="28"/>
          <w:szCs w:val="28"/>
        </w:rPr>
        <w:t xml:space="preserve">делах от 0 до </w:t>
      </w:r>
      <w:r w:rsidR="005D5C54">
        <w:rPr>
          <w:sz w:val="28"/>
          <w:szCs w:val="28"/>
        </w:rPr>
        <w:br/>
      </w:r>
      <w:r w:rsidR="00FC583B" w:rsidRPr="00A52DD9">
        <w:rPr>
          <w:sz w:val="28"/>
          <w:szCs w:val="28"/>
        </w:rPr>
        <w:t>0,33 случая на 10</w:t>
      </w:r>
      <w:r w:rsidR="002A5FB3" w:rsidRPr="00A52DD9">
        <w:rPr>
          <w:sz w:val="28"/>
          <w:szCs w:val="28"/>
        </w:rPr>
        <w:t xml:space="preserve"> </w:t>
      </w:r>
      <w:r w:rsidR="002A5FB3" w:rsidRPr="00A52DD9">
        <w:rPr>
          <w:rFonts w:eastAsia="Calibri"/>
          <w:bCs/>
          <w:sz w:val="28"/>
          <w:szCs w:val="28"/>
          <w:lang w:eastAsia="en-US"/>
        </w:rPr>
        <w:t>тысяч населения</w:t>
      </w:r>
      <w:r w:rsidR="00B41F8A" w:rsidRPr="00A52DD9">
        <w:rPr>
          <w:rFonts w:eastAsia="Calibri"/>
          <w:bCs/>
          <w:sz w:val="28"/>
          <w:szCs w:val="28"/>
          <w:lang w:eastAsia="en-US"/>
        </w:rPr>
        <w:t xml:space="preserve"> </w:t>
      </w:r>
      <w:r w:rsidR="00B41F8A" w:rsidRPr="00A52DD9">
        <w:rPr>
          <w:sz w:val="28"/>
          <w:szCs w:val="28"/>
        </w:rPr>
        <w:t xml:space="preserve">(2025 год – 1 случай, 2024 год – 1 случай, 2023 год – </w:t>
      </w:r>
      <w:r w:rsidR="00910623" w:rsidRPr="00A52DD9">
        <w:rPr>
          <w:sz w:val="28"/>
          <w:szCs w:val="28"/>
        </w:rPr>
        <w:t>3</w:t>
      </w:r>
      <w:r w:rsidR="00B41F8A" w:rsidRPr="00A52DD9">
        <w:rPr>
          <w:sz w:val="28"/>
          <w:szCs w:val="28"/>
        </w:rPr>
        <w:t xml:space="preserve"> случая, 2022 год – 0 случаев, 2021 год – 0 случаев)</w:t>
      </w:r>
      <w:r w:rsidRPr="00A52DD9">
        <w:rPr>
          <w:rFonts w:eastAsia="Calibri"/>
          <w:bCs/>
          <w:sz w:val="28"/>
          <w:szCs w:val="28"/>
          <w:lang w:eastAsia="en-US"/>
        </w:rPr>
        <w:t>;</w:t>
      </w:r>
    </w:p>
    <w:p w:rsidR="002049D3" w:rsidRPr="00A52DD9" w:rsidRDefault="00AC1CF9" w:rsidP="00AC1CF9">
      <w:pPr>
        <w:ind w:firstLine="567"/>
        <w:jc w:val="both"/>
        <w:rPr>
          <w:sz w:val="28"/>
          <w:szCs w:val="28"/>
        </w:rPr>
      </w:pPr>
      <w:r w:rsidRPr="00A52DD9">
        <w:rPr>
          <w:sz w:val="28"/>
          <w:szCs w:val="28"/>
        </w:rPr>
        <w:t xml:space="preserve">д) </w:t>
      </w:r>
      <w:r w:rsidR="00AE3A41" w:rsidRPr="00A52DD9">
        <w:rPr>
          <w:sz w:val="28"/>
          <w:szCs w:val="28"/>
        </w:rPr>
        <w:t>гепатит</w:t>
      </w:r>
      <w:r w:rsidR="002A5FB3" w:rsidRPr="00A52DD9">
        <w:rPr>
          <w:sz w:val="28"/>
          <w:szCs w:val="28"/>
        </w:rPr>
        <w:t>ом</w:t>
      </w:r>
      <w:r w:rsidR="00AE3A41" w:rsidRPr="00A52DD9">
        <w:rPr>
          <w:sz w:val="28"/>
          <w:szCs w:val="28"/>
        </w:rPr>
        <w:t xml:space="preserve"> </w:t>
      </w:r>
      <w:proofErr w:type="gramStart"/>
      <w:r w:rsidR="00AE3A41" w:rsidRPr="00A52DD9">
        <w:rPr>
          <w:sz w:val="28"/>
          <w:szCs w:val="28"/>
        </w:rPr>
        <w:t>В среди</w:t>
      </w:r>
      <w:proofErr w:type="gramEnd"/>
      <w:r w:rsidR="00AE3A41" w:rsidRPr="00A52DD9">
        <w:rPr>
          <w:sz w:val="28"/>
          <w:szCs w:val="28"/>
        </w:rPr>
        <w:t xml:space="preserve"> взрослого населения в пределах</w:t>
      </w:r>
      <w:r w:rsidR="002A5FB3" w:rsidRPr="00A52DD9">
        <w:rPr>
          <w:sz w:val="28"/>
          <w:szCs w:val="28"/>
        </w:rPr>
        <w:t xml:space="preserve"> от 0 до 0,22 случая на </w:t>
      </w:r>
      <w:r w:rsidR="00092C86" w:rsidRPr="00A52DD9">
        <w:rPr>
          <w:rFonts w:eastAsia="Calibri"/>
          <w:bCs/>
          <w:sz w:val="28"/>
          <w:szCs w:val="28"/>
          <w:lang w:eastAsia="en-US"/>
        </w:rPr>
        <w:t>10</w:t>
      </w:r>
      <w:r w:rsidR="00FC583B" w:rsidRPr="00A52DD9">
        <w:rPr>
          <w:rFonts w:eastAsia="Calibri"/>
          <w:bCs/>
          <w:sz w:val="28"/>
          <w:szCs w:val="28"/>
          <w:lang w:eastAsia="en-US"/>
        </w:rPr>
        <w:t>0</w:t>
      </w:r>
      <w:r w:rsidR="002A5FB3" w:rsidRPr="00A52DD9">
        <w:rPr>
          <w:sz w:val="28"/>
          <w:szCs w:val="28"/>
        </w:rPr>
        <w:t xml:space="preserve"> </w:t>
      </w:r>
      <w:r w:rsidR="002A5FB3" w:rsidRPr="00A52DD9">
        <w:rPr>
          <w:rFonts w:eastAsia="Calibri"/>
          <w:bCs/>
          <w:sz w:val="28"/>
          <w:szCs w:val="28"/>
          <w:lang w:eastAsia="en-US"/>
        </w:rPr>
        <w:t>тысяч населения</w:t>
      </w:r>
      <w:r w:rsidR="00B41F8A" w:rsidRPr="00A52DD9">
        <w:rPr>
          <w:rFonts w:eastAsia="Calibri"/>
          <w:bCs/>
          <w:sz w:val="28"/>
          <w:szCs w:val="28"/>
          <w:lang w:eastAsia="en-US"/>
        </w:rPr>
        <w:t xml:space="preserve"> </w:t>
      </w:r>
      <w:r w:rsidR="00B41F8A" w:rsidRPr="00A52DD9">
        <w:rPr>
          <w:sz w:val="28"/>
          <w:szCs w:val="28"/>
        </w:rPr>
        <w:t>(2025 год – 0 случаев, 2024 год – 0 случаев, 2023 год –</w:t>
      </w:r>
      <w:r w:rsidR="00773ABB">
        <w:rPr>
          <w:sz w:val="28"/>
          <w:szCs w:val="28"/>
        </w:rPr>
        <w:t xml:space="preserve"> </w:t>
      </w:r>
      <w:r w:rsidR="00B41F8A" w:rsidRPr="00A52DD9">
        <w:rPr>
          <w:sz w:val="28"/>
          <w:szCs w:val="28"/>
        </w:rPr>
        <w:t>0 случаев, 2022 год – 0 случаев, 2021 год – 1 случай)</w:t>
      </w:r>
      <w:r w:rsidR="002A5FB3" w:rsidRPr="00A52DD9">
        <w:rPr>
          <w:rFonts w:eastAsia="Calibri"/>
          <w:bCs/>
          <w:sz w:val="28"/>
          <w:szCs w:val="28"/>
          <w:lang w:eastAsia="en-US"/>
        </w:rPr>
        <w:t>.</w:t>
      </w:r>
      <w:r w:rsidR="002A5FB3" w:rsidRPr="00A52DD9">
        <w:rPr>
          <w:sz w:val="28"/>
          <w:szCs w:val="28"/>
        </w:rPr>
        <w:t xml:space="preserve"> </w:t>
      </w:r>
    </w:p>
    <w:p w:rsidR="00AE3A41" w:rsidRPr="00A52DD9" w:rsidRDefault="002A5FB3" w:rsidP="00B41F8A">
      <w:pPr>
        <w:ind w:firstLine="709"/>
        <w:jc w:val="both"/>
        <w:rPr>
          <w:rFonts w:eastAsia="Calibri"/>
          <w:bCs/>
          <w:sz w:val="28"/>
          <w:szCs w:val="28"/>
          <w:lang w:eastAsia="en-US"/>
        </w:rPr>
      </w:pPr>
      <w:r w:rsidRPr="00A52DD9">
        <w:rPr>
          <w:rFonts w:eastAsia="Calibri"/>
          <w:bCs/>
          <w:sz w:val="28"/>
          <w:szCs w:val="28"/>
          <w:lang w:eastAsia="en-US"/>
        </w:rPr>
        <w:lastRenderedPageBreak/>
        <w:t>Случаи дифтерии, краснухи, столбняка, полиомиелита не зарегистрированы.</w:t>
      </w:r>
      <w:r w:rsidR="00773ABB">
        <w:rPr>
          <w:rFonts w:eastAsia="Calibri"/>
          <w:bCs/>
          <w:sz w:val="28"/>
          <w:szCs w:val="28"/>
          <w:lang w:eastAsia="en-US"/>
        </w:rPr>
        <w:t xml:space="preserve"> </w:t>
      </w:r>
      <w:r w:rsidRPr="00A52DD9">
        <w:rPr>
          <w:rFonts w:eastAsia="Calibri"/>
          <w:bCs/>
          <w:sz w:val="28"/>
          <w:szCs w:val="28"/>
          <w:lang w:eastAsia="en-US"/>
        </w:rPr>
        <w:t xml:space="preserve">За весь </w:t>
      </w:r>
      <w:r w:rsidR="006824CE">
        <w:rPr>
          <w:rFonts w:eastAsia="Calibri"/>
          <w:bCs/>
          <w:sz w:val="28"/>
          <w:szCs w:val="28"/>
          <w:lang w:eastAsia="en-US"/>
        </w:rPr>
        <w:t xml:space="preserve">отчетный </w:t>
      </w:r>
      <w:r w:rsidRPr="00A52DD9">
        <w:rPr>
          <w:rFonts w:eastAsia="Calibri"/>
          <w:bCs/>
          <w:sz w:val="28"/>
          <w:szCs w:val="28"/>
          <w:lang w:eastAsia="en-US"/>
        </w:rPr>
        <w:t>период зарегистрировано 7 случаев кори без дальнейшего распространения.</w:t>
      </w:r>
    </w:p>
    <w:p w:rsidR="00DE4E92" w:rsidRPr="00A52DD9" w:rsidRDefault="00DE4E92" w:rsidP="004B5339">
      <w:pPr>
        <w:ind w:firstLine="709"/>
        <w:jc w:val="both"/>
        <w:rPr>
          <w:bCs/>
          <w:sz w:val="28"/>
          <w:szCs w:val="28"/>
        </w:rPr>
      </w:pPr>
      <w:r w:rsidRPr="00A52DD9">
        <w:rPr>
          <w:bCs/>
          <w:sz w:val="28"/>
          <w:szCs w:val="28"/>
        </w:rPr>
        <w:t xml:space="preserve">В связи с тем, что выделенные на приобретение вакцин </w:t>
      </w:r>
      <w:r w:rsidR="0065650B" w:rsidRPr="00A52DD9">
        <w:rPr>
          <w:bCs/>
          <w:sz w:val="28"/>
          <w:szCs w:val="28"/>
        </w:rPr>
        <w:t xml:space="preserve">средства </w:t>
      </w:r>
      <w:r w:rsidRPr="00A52DD9">
        <w:rPr>
          <w:bCs/>
          <w:sz w:val="28"/>
          <w:szCs w:val="28"/>
        </w:rPr>
        <w:t xml:space="preserve">оказываются недостаточными для обеспечения иммунизации населения по </w:t>
      </w:r>
      <w:r w:rsidRPr="00A52DD9">
        <w:rPr>
          <w:sz w:val="28"/>
          <w:szCs w:val="28"/>
        </w:rPr>
        <w:t>календарю иммунизации населения и</w:t>
      </w:r>
      <w:r w:rsidR="004B5339" w:rsidRPr="00A52DD9">
        <w:rPr>
          <w:sz w:val="28"/>
          <w:szCs w:val="28"/>
        </w:rPr>
        <w:t xml:space="preserve"> эпидемическим показаниям</w:t>
      </w:r>
      <w:r w:rsidRPr="00A52DD9">
        <w:rPr>
          <w:bCs/>
          <w:sz w:val="28"/>
          <w:szCs w:val="28"/>
        </w:rPr>
        <w:t>, на эти цели перераспределяются средства, предназначенные для медико-гигиенического воспитания, контроля качества вакцин и шприцев,</w:t>
      </w:r>
      <w:r w:rsidRPr="00A52DD9">
        <w:rPr>
          <w:sz w:val="28"/>
          <w:szCs w:val="28"/>
        </w:rPr>
        <w:t xml:space="preserve"> приобретения оборудования для соблюдения «</w:t>
      </w:r>
      <w:proofErr w:type="spellStart"/>
      <w:r w:rsidRPr="00A52DD9">
        <w:rPr>
          <w:sz w:val="28"/>
          <w:szCs w:val="28"/>
        </w:rPr>
        <w:t>холодовой</w:t>
      </w:r>
      <w:proofErr w:type="spellEnd"/>
      <w:r w:rsidRPr="00A52DD9">
        <w:rPr>
          <w:sz w:val="28"/>
          <w:szCs w:val="28"/>
        </w:rPr>
        <w:t xml:space="preserve"> цепи», лабораторной диагностики</w:t>
      </w:r>
      <w:r w:rsidRPr="00A52DD9">
        <w:rPr>
          <w:bCs/>
          <w:sz w:val="28"/>
          <w:szCs w:val="28"/>
        </w:rPr>
        <w:t>.</w:t>
      </w:r>
      <w:r w:rsidR="00773ABB">
        <w:rPr>
          <w:bCs/>
          <w:sz w:val="28"/>
          <w:szCs w:val="28"/>
        </w:rPr>
        <w:t xml:space="preserve"> </w:t>
      </w:r>
    </w:p>
    <w:p w:rsidR="00092C86" w:rsidRPr="00A52DD9" w:rsidRDefault="00DF7DAF" w:rsidP="00527880">
      <w:pPr>
        <w:pStyle w:val="a3"/>
        <w:suppressAutoHyphens/>
        <w:ind w:firstLine="709"/>
        <w:jc w:val="both"/>
        <w:rPr>
          <w:bCs/>
          <w:color w:val="FF0000"/>
          <w:sz w:val="28"/>
          <w:szCs w:val="28"/>
        </w:rPr>
      </w:pPr>
      <w:r w:rsidRPr="00A52DD9">
        <w:rPr>
          <w:bCs/>
          <w:sz w:val="28"/>
          <w:szCs w:val="28"/>
        </w:rPr>
        <w:t>3.</w:t>
      </w:r>
      <w:r w:rsidR="00527880" w:rsidRPr="00A52DD9">
        <w:rPr>
          <w:bCs/>
          <w:sz w:val="28"/>
          <w:szCs w:val="28"/>
        </w:rPr>
        <w:t xml:space="preserve"> </w:t>
      </w:r>
      <w:r w:rsidRPr="00A52DD9">
        <w:rPr>
          <w:bCs/>
          <w:sz w:val="28"/>
          <w:szCs w:val="28"/>
        </w:rPr>
        <w:t>Внедрение</w:t>
      </w:r>
      <w:r w:rsidR="00092C86" w:rsidRPr="00A52DD9">
        <w:rPr>
          <w:bCs/>
          <w:sz w:val="28"/>
          <w:szCs w:val="28"/>
        </w:rPr>
        <w:t>, приобретение и транспортировка новых вакцин и средств для иммунизации.</w:t>
      </w:r>
      <w:r w:rsidR="00527880" w:rsidRPr="00A52DD9">
        <w:rPr>
          <w:bCs/>
          <w:color w:val="FF0000"/>
          <w:sz w:val="28"/>
          <w:szCs w:val="28"/>
        </w:rPr>
        <w:t xml:space="preserve"> </w:t>
      </w:r>
    </w:p>
    <w:p w:rsidR="00527880" w:rsidRPr="00A52DD9" w:rsidRDefault="00092C86" w:rsidP="00527880">
      <w:pPr>
        <w:pStyle w:val="a3"/>
        <w:suppressAutoHyphens/>
        <w:ind w:firstLine="709"/>
        <w:jc w:val="both"/>
        <w:rPr>
          <w:bCs/>
          <w:sz w:val="28"/>
          <w:szCs w:val="28"/>
        </w:rPr>
      </w:pPr>
      <w:r w:rsidRPr="00A52DD9">
        <w:rPr>
          <w:bCs/>
          <w:sz w:val="28"/>
          <w:szCs w:val="28"/>
        </w:rPr>
        <w:t>Программой на 2021–2025 годы на данное мероприятие</w:t>
      </w:r>
      <w:r w:rsidR="00527880" w:rsidRPr="00A52DD9">
        <w:rPr>
          <w:bCs/>
          <w:sz w:val="28"/>
          <w:szCs w:val="28"/>
        </w:rPr>
        <w:t xml:space="preserve"> предусмотрен</w:t>
      </w:r>
      <w:r w:rsidR="002049D3" w:rsidRPr="00A52DD9">
        <w:rPr>
          <w:bCs/>
          <w:sz w:val="28"/>
          <w:szCs w:val="28"/>
        </w:rPr>
        <w:t xml:space="preserve">о финансирование в </w:t>
      </w:r>
      <w:r w:rsidR="00527880" w:rsidRPr="00A52DD9">
        <w:rPr>
          <w:bCs/>
          <w:sz w:val="28"/>
          <w:szCs w:val="28"/>
        </w:rPr>
        <w:t>сумм</w:t>
      </w:r>
      <w:r w:rsidR="002049D3" w:rsidRPr="00A52DD9">
        <w:rPr>
          <w:bCs/>
          <w:sz w:val="28"/>
          <w:szCs w:val="28"/>
        </w:rPr>
        <w:t>е</w:t>
      </w:r>
      <w:r w:rsidR="00527880" w:rsidRPr="00A52DD9">
        <w:rPr>
          <w:bCs/>
          <w:sz w:val="28"/>
          <w:szCs w:val="28"/>
        </w:rPr>
        <w:t xml:space="preserve"> </w:t>
      </w:r>
      <w:r w:rsidRPr="00A52DD9">
        <w:rPr>
          <w:bCs/>
          <w:sz w:val="28"/>
          <w:szCs w:val="28"/>
        </w:rPr>
        <w:t xml:space="preserve">7 322 865 </w:t>
      </w:r>
      <w:r w:rsidR="00527880" w:rsidRPr="00A52DD9">
        <w:rPr>
          <w:bCs/>
          <w:sz w:val="28"/>
          <w:szCs w:val="28"/>
        </w:rPr>
        <w:t>руб</w:t>
      </w:r>
      <w:r w:rsidR="00A22168" w:rsidRPr="00A52DD9">
        <w:rPr>
          <w:bCs/>
          <w:sz w:val="28"/>
          <w:szCs w:val="28"/>
        </w:rPr>
        <w:t>л</w:t>
      </w:r>
      <w:r w:rsidRPr="00A52DD9">
        <w:rPr>
          <w:bCs/>
          <w:sz w:val="28"/>
          <w:szCs w:val="28"/>
        </w:rPr>
        <w:t>ей</w:t>
      </w:r>
      <w:r w:rsidR="00527880" w:rsidRPr="00A52DD9">
        <w:rPr>
          <w:bCs/>
          <w:sz w:val="28"/>
          <w:szCs w:val="28"/>
        </w:rPr>
        <w:t>. Данное мероприятие не осуществлялось, так как не были предусмотрены плановые лимиты финансирования</w:t>
      </w:r>
      <w:r w:rsidR="00804414" w:rsidRPr="00A52DD9">
        <w:rPr>
          <w:bCs/>
          <w:sz w:val="28"/>
          <w:szCs w:val="28"/>
        </w:rPr>
        <w:t>.</w:t>
      </w:r>
    </w:p>
    <w:p w:rsidR="00804414" w:rsidRPr="00A52DD9" w:rsidRDefault="00DF7DAF" w:rsidP="00527880">
      <w:pPr>
        <w:pStyle w:val="a3"/>
        <w:tabs>
          <w:tab w:val="left" w:pos="426"/>
        </w:tabs>
        <w:autoSpaceDN w:val="0"/>
        <w:adjustRightInd w:val="0"/>
        <w:ind w:firstLine="709"/>
        <w:jc w:val="both"/>
        <w:rPr>
          <w:sz w:val="28"/>
          <w:szCs w:val="28"/>
          <w:lang w:eastAsia="en-US"/>
        </w:rPr>
      </w:pPr>
      <w:r w:rsidRPr="00A52DD9">
        <w:rPr>
          <w:sz w:val="28"/>
          <w:szCs w:val="28"/>
          <w:lang w:eastAsia="en-US"/>
        </w:rPr>
        <w:t>4.</w:t>
      </w:r>
      <w:r w:rsidR="004E3B16" w:rsidRPr="00A52DD9">
        <w:rPr>
          <w:sz w:val="28"/>
          <w:szCs w:val="28"/>
          <w:lang w:eastAsia="en-US"/>
        </w:rPr>
        <w:t xml:space="preserve"> </w:t>
      </w:r>
      <w:r w:rsidRPr="00A52DD9">
        <w:rPr>
          <w:sz w:val="28"/>
          <w:szCs w:val="28"/>
          <w:lang w:eastAsia="en-US"/>
        </w:rPr>
        <w:t xml:space="preserve">Лабораторная </w:t>
      </w:r>
      <w:r w:rsidR="00321016" w:rsidRPr="00A52DD9">
        <w:rPr>
          <w:sz w:val="28"/>
          <w:szCs w:val="28"/>
          <w:lang w:eastAsia="en-US"/>
        </w:rPr>
        <w:t>диагностик</w:t>
      </w:r>
      <w:r w:rsidRPr="00A52DD9">
        <w:rPr>
          <w:sz w:val="28"/>
          <w:szCs w:val="28"/>
          <w:lang w:eastAsia="en-US"/>
        </w:rPr>
        <w:t>а</w:t>
      </w:r>
      <w:r w:rsidR="00092C86" w:rsidRPr="00A52DD9">
        <w:rPr>
          <w:sz w:val="28"/>
          <w:szCs w:val="28"/>
          <w:lang w:eastAsia="en-US"/>
        </w:rPr>
        <w:t>.</w:t>
      </w:r>
      <w:r w:rsidR="00804414" w:rsidRPr="00A52DD9">
        <w:rPr>
          <w:sz w:val="28"/>
          <w:szCs w:val="28"/>
          <w:lang w:eastAsia="en-US"/>
        </w:rPr>
        <w:t xml:space="preserve"> </w:t>
      </w:r>
    </w:p>
    <w:p w:rsidR="00092C86" w:rsidRPr="00A52DD9" w:rsidRDefault="00092C86" w:rsidP="00E55768">
      <w:pPr>
        <w:pStyle w:val="a3"/>
        <w:tabs>
          <w:tab w:val="left" w:pos="426"/>
        </w:tabs>
        <w:autoSpaceDN w:val="0"/>
        <w:adjustRightInd w:val="0"/>
        <w:ind w:firstLine="709"/>
        <w:jc w:val="both"/>
        <w:rPr>
          <w:sz w:val="28"/>
          <w:szCs w:val="28"/>
          <w:lang w:eastAsia="en-US"/>
        </w:rPr>
      </w:pPr>
      <w:r w:rsidRPr="00A52DD9">
        <w:rPr>
          <w:sz w:val="28"/>
          <w:szCs w:val="28"/>
          <w:lang w:eastAsia="en-US"/>
        </w:rPr>
        <w:t>В 2021–2025 год</w:t>
      </w:r>
      <w:r w:rsidR="0065650B">
        <w:rPr>
          <w:sz w:val="28"/>
          <w:szCs w:val="28"/>
          <w:lang w:eastAsia="en-US"/>
        </w:rPr>
        <w:t>ах</w:t>
      </w:r>
      <w:r w:rsidRPr="00A52DD9">
        <w:rPr>
          <w:sz w:val="28"/>
          <w:szCs w:val="28"/>
          <w:lang w:eastAsia="en-US"/>
        </w:rPr>
        <w:t xml:space="preserve"> Программой на мероприятие </w:t>
      </w:r>
      <w:r w:rsidR="002049D3" w:rsidRPr="00A52DD9">
        <w:rPr>
          <w:sz w:val="28"/>
          <w:szCs w:val="28"/>
          <w:lang w:eastAsia="en-US"/>
        </w:rPr>
        <w:t xml:space="preserve">было </w:t>
      </w:r>
      <w:r w:rsidR="00CB1B0B" w:rsidRPr="00A52DD9">
        <w:rPr>
          <w:sz w:val="28"/>
          <w:szCs w:val="28"/>
          <w:lang w:eastAsia="en-US"/>
        </w:rPr>
        <w:t xml:space="preserve">запланировано </w:t>
      </w:r>
      <w:r w:rsidR="002049D3" w:rsidRPr="00A52DD9">
        <w:rPr>
          <w:sz w:val="28"/>
          <w:szCs w:val="28"/>
          <w:lang w:eastAsia="en-US"/>
        </w:rPr>
        <w:t xml:space="preserve">финансирование в сумме </w:t>
      </w:r>
      <w:r w:rsidR="00CB1B0B" w:rsidRPr="00A52DD9">
        <w:rPr>
          <w:bCs/>
          <w:sz w:val="28"/>
          <w:szCs w:val="28"/>
        </w:rPr>
        <w:t>1 274 200 рублей</w:t>
      </w:r>
      <w:r w:rsidR="004812D4">
        <w:rPr>
          <w:bCs/>
          <w:sz w:val="28"/>
          <w:szCs w:val="28"/>
        </w:rPr>
        <w:t>.</w:t>
      </w:r>
      <w:r w:rsidR="00CB1B0B" w:rsidRPr="00A52DD9">
        <w:rPr>
          <w:bCs/>
          <w:sz w:val="28"/>
          <w:szCs w:val="28"/>
        </w:rPr>
        <w:t xml:space="preserve"> </w:t>
      </w:r>
      <w:r w:rsidR="004812D4">
        <w:rPr>
          <w:bCs/>
          <w:sz w:val="28"/>
          <w:szCs w:val="28"/>
        </w:rPr>
        <w:t>С</w:t>
      </w:r>
      <w:r w:rsidR="00E55768" w:rsidRPr="00E55768">
        <w:rPr>
          <w:sz w:val="28"/>
          <w:szCs w:val="28"/>
        </w:rPr>
        <w:t>метами расходов, утвержденными законами о республиканском бюджете</w:t>
      </w:r>
      <w:r w:rsidR="0065650B" w:rsidRPr="00A52DD9">
        <w:rPr>
          <w:rFonts w:eastAsia="Times New Roman"/>
          <w:sz w:val="28"/>
          <w:szCs w:val="28"/>
        </w:rPr>
        <w:t xml:space="preserve"> на 2021</w:t>
      </w:r>
      <w:r w:rsidR="0065650B">
        <w:rPr>
          <w:rFonts w:eastAsia="Times New Roman"/>
          <w:sz w:val="28"/>
          <w:szCs w:val="28"/>
        </w:rPr>
        <w:t>–</w:t>
      </w:r>
      <w:r w:rsidR="0065650B" w:rsidRPr="00A52DD9">
        <w:rPr>
          <w:rFonts w:eastAsia="Times New Roman"/>
          <w:sz w:val="28"/>
          <w:szCs w:val="28"/>
        </w:rPr>
        <w:t>2025 годы</w:t>
      </w:r>
      <w:r w:rsidR="004539CE">
        <w:rPr>
          <w:rFonts w:eastAsia="Times New Roman"/>
          <w:sz w:val="28"/>
          <w:szCs w:val="28"/>
        </w:rPr>
        <w:t>,</w:t>
      </w:r>
      <w:r w:rsidR="00CB1B0B" w:rsidRPr="00A52DD9">
        <w:rPr>
          <w:bCs/>
          <w:iCs/>
          <w:sz w:val="28"/>
          <w:szCs w:val="28"/>
        </w:rPr>
        <w:t xml:space="preserve"> </w:t>
      </w:r>
      <w:r w:rsidR="00961866">
        <w:rPr>
          <w:iCs/>
          <w:sz w:val="28"/>
          <w:szCs w:val="28"/>
        </w:rPr>
        <w:t>предусмотрена</w:t>
      </w:r>
      <w:r w:rsidR="00CB1B0B" w:rsidRPr="00A52DD9">
        <w:rPr>
          <w:iCs/>
          <w:sz w:val="28"/>
          <w:szCs w:val="28"/>
        </w:rPr>
        <w:t xml:space="preserve"> сумма в размере </w:t>
      </w:r>
      <w:r w:rsidR="00CB1B0B" w:rsidRPr="00A52DD9">
        <w:rPr>
          <w:bCs/>
          <w:iCs/>
          <w:sz w:val="28"/>
          <w:szCs w:val="28"/>
        </w:rPr>
        <w:t>75</w:t>
      </w:r>
      <w:r w:rsidR="00AA7EEA" w:rsidRPr="00A52DD9">
        <w:rPr>
          <w:bCs/>
          <w:iCs/>
          <w:sz w:val="28"/>
          <w:szCs w:val="28"/>
        </w:rPr>
        <w:t>1</w:t>
      </w:r>
      <w:r w:rsidR="005D5C54">
        <w:rPr>
          <w:bCs/>
          <w:iCs/>
          <w:sz w:val="28"/>
          <w:szCs w:val="28"/>
        </w:rPr>
        <w:t> </w:t>
      </w:r>
      <w:r w:rsidR="00CB1B0B" w:rsidRPr="00A52DD9">
        <w:rPr>
          <w:bCs/>
          <w:iCs/>
          <w:sz w:val="28"/>
          <w:szCs w:val="28"/>
        </w:rPr>
        <w:t>446</w:t>
      </w:r>
      <w:r w:rsidR="005D5C54">
        <w:rPr>
          <w:bCs/>
          <w:iCs/>
          <w:sz w:val="28"/>
          <w:szCs w:val="28"/>
        </w:rPr>
        <w:t xml:space="preserve"> </w:t>
      </w:r>
      <w:r w:rsidR="00CB1B0B" w:rsidRPr="00A52DD9">
        <w:rPr>
          <w:iCs/>
          <w:sz w:val="28"/>
          <w:szCs w:val="28"/>
        </w:rPr>
        <w:t xml:space="preserve">рублей, </w:t>
      </w:r>
      <w:r w:rsidR="00CB1B0B" w:rsidRPr="00A52DD9">
        <w:rPr>
          <w:sz w:val="28"/>
          <w:szCs w:val="28"/>
          <w:lang w:eastAsia="en-US"/>
        </w:rPr>
        <w:t>или 5</w:t>
      </w:r>
      <w:r w:rsidR="00AA7EEA" w:rsidRPr="00A52DD9">
        <w:rPr>
          <w:sz w:val="28"/>
          <w:szCs w:val="28"/>
          <w:lang w:eastAsia="en-US"/>
        </w:rPr>
        <w:t>9</w:t>
      </w:r>
      <w:r w:rsidR="00CB1B0B" w:rsidRPr="00A52DD9">
        <w:rPr>
          <w:sz w:val="28"/>
          <w:szCs w:val="28"/>
          <w:lang w:eastAsia="en-US"/>
        </w:rPr>
        <w:t>,</w:t>
      </w:r>
      <w:r w:rsidR="00AA7EEA" w:rsidRPr="00A52DD9">
        <w:rPr>
          <w:sz w:val="28"/>
          <w:szCs w:val="28"/>
          <w:lang w:eastAsia="en-US"/>
        </w:rPr>
        <w:t>0</w:t>
      </w:r>
      <w:r w:rsidR="00CB1B0B" w:rsidRPr="00A52DD9">
        <w:rPr>
          <w:sz w:val="28"/>
          <w:szCs w:val="28"/>
          <w:lang w:eastAsia="en-US"/>
        </w:rPr>
        <w:t xml:space="preserve"> процент</w:t>
      </w:r>
      <w:r w:rsidR="00F4171E">
        <w:rPr>
          <w:sz w:val="28"/>
          <w:szCs w:val="28"/>
          <w:lang w:eastAsia="en-US"/>
        </w:rPr>
        <w:t>а</w:t>
      </w:r>
      <w:r w:rsidR="00CB1B0B" w:rsidRPr="00A52DD9">
        <w:rPr>
          <w:sz w:val="28"/>
          <w:szCs w:val="28"/>
          <w:lang w:eastAsia="en-US"/>
        </w:rPr>
        <w:t xml:space="preserve"> от суммы, запланированной по Программе. Выделено финансирование на сумму </w:t>
      </w:r>
      <w:r w:rsidR="00DC4BAD">
        <w:rPr>
          <w:sz w:val="28"/>
          <w:szCs w:val="28"/>
          <w:lang w:eastAsia="en-US"/>
        </w:rPr>
        <w:br/>
      </w:r>
      <w:r w:rsidR="00CB1B0B" w:rsidRPr="00A52DD9">
        <w:rPr>
          <w:sz w:val="28"/>
          <w:szCs w:val="28"/>
          <w:lang w:eastAsia="en-US"/>
        </w:rPr>
        <w:t>462 491 рубль, что составляет 61,</w:t>
      </w:r>
      <w:r w:rsidR="007229F0" w:rsidRPr="00A52DD9">
        <w:rPr>
          <w:sz w:val="28"/>
          <w:szCs w:val="28"/>
          <w:lang w:eastAsia="en-US"/>
        </w:rPr>
        <w:t>5</w:t>
      </w:r>
      <w:r w:rsidR="00CB1B0B" w:rsidRPr="00A52DD9">
        <w:rPr>
          <w:sz w:val="28"/>
          <w:szCs w:val="28"/>
          <w:lang w:eastAsia="en-US"/>
        </w:rPr>
        <w:t xml:space="preserve"> процента от </w:t>
      </w:r>
      <w:r w:rsidR="00F4171E" w:rsidRPr="00A52DD9">
        <w:rPr>
          <w:sz w:val="28"/>
          <w:szCs w:val="28"/>
          <w:lang w:eastAsia="en-US"/>
        </w:rPr>
        <w:t xml:space="preserve">запланированной </w:t>
      </w:r>
      <w:r w:rsidR="00CB1B0B" w:rsidRPr="00A52DD9">
        <w:rPr>
          <w:sz w:val="28"/>
          <w:szCs w:val="28"/>
          <w:lang w:eastAsia="en-US"/>
        </w:rPr>
        <w:t>суммы</w:t>
      </w:r>
      <w:r w:rsidR="00804414" w:rsidRPr="00A52DD9">
        <w:rPr>
          <w:sz w:val="28"/>
          <w:szCs w:val="28"/>
          <w:lang w:eastAsia="en-US"/>
        </w:rPr>
        <w:t>.</w:t>
      </w:r>
    </w:p>
    <w:p w:rsidR="00092C86" w:rsidRPr="00A52DD9" w:rsidRDefault="00DF7DAF" w:rsidP="00527880">
      <w:pPr>
        <w:pStyle w:val="a3"/>
        <w:tabs>
          <w:tab w:val="left" w:pos="426"/>
        </w:tabs>
        <w:autoSpaceDN w:val="0"/>
        <w:adjustRightInd w:val="0"/>
        <w:ind w:firstLine="709"/>
        <w:jc w:val="both"/>
        <w:rPr>
          <w:sz w:val="28"/>
          <w:szCs w:val="28"/>
          <w:lang w:eastAsia="en-US"/>
        </w:rPr>
      </w:pPr>
      <w:r w:rsidRPr="00A52DD9">
        <w:rPr>
          <w:sz w:val="28"/>
          <w:szCs w:val="28"/>
          <w:lang w:eastAsia="en-US"/>
        </w:rPr>
        <w:t>5.</w:t>
      </w:r>
      <w:r w:rsidR="00F55461" w:rsidRPr="00A52DD9">
        <w:rPr>
          <w:sz w:val="28"/>
          <w:szCs w:val="28"/>
          <w:lang w:eastAsia="en-US"/>
        </w:rPr>
        <w:t xml:space="preserve"> </w:t>
      </w:r>
      <w:r w:rsidRPr="00A52DD9">
        <w:rPr>
          <w:sz w:val="28"/>
          <w:szCs w:val="28"/>
          <w:lang w:eastAsia="en-US"/>
        </w:rPr>
        <w:t>Медико</w:t>
      </w:r>
      <w:r w:rsidR="00F55461" w:rsidRPr="00A52DD9">
        <w:rPr>
          <w:sz w:val="28"/>
          <w:szCs w:val="28"/>
          <w:lang w:eastAsia="en-US"/>
        </w:rPr>
        <w:t>-гигиеническое воспитание населения.</w:t>
      </w:r>
    </w:p>
    <w:p w:rsidR="00F55461" w:rsidRPr="00A52DD9" w:rsidRDefault="00F55461" w:rsidP="00E55768">
      <w:pPr>
        <w:pStyle w:val="a3"/>
        <w:tabs>
          <w:tab w:val="left" w:pos="426"/>
        </w:tabs>
        <w:autoSpaceDN w:val="0"/>
        <w:adjustRightInd w:val="0"/>
        <w:ind w:firstLine="709"/>
        <w:jc w:val="both"/>
        <w:rPr>
          <w:sz w:val="28"/>
          <w:szCs w:val="28"/>
          <w:lang w:eastAsia="en-US"/>
        </w:rPr>
      </w:pPr>
      <w:r w:rsidRPr="00A52DD9">
        <w:rPr>
          <w:sz w:val="28"/>
          <w:szCs w:val="28"/>
          <w:lang w:eastAsia="en-US"/>
        </w:rPr>
        <w:t>В отчетном периоде по данному мероприятию Программой предусмотрен</w:t>
      </w:r>
      <w:r w:rsidR="002049D3" w:rsidRPr="00A52DD9">
        <w:rPr>
          <w:sz w:val="28"/>
          <w:szCs w:val="28"/>
          <w:lang w:eastAsia="en-US"/>
        </w:rPr>
        <w:t>о финансирование в</w:t>
      </w:r>
      <w:r w:rsidRPr="00A52DD9">
        <w:rPr>
          <w:sz w:val="28"/>
          <w:szCs w:val="28"/>
          <w:lang w:eastAsia="en-US"/>
        </w:rPr>
        <w:t xml:space="preserve"> сумм</w:t>
      </w:r>
      <w:r w:rsidR="002049D3" w:rsidRPr="00A52DD9">
        <w:rPr>
          <w:sz w:val="28"/>
          <w:szCs w:val="28"/>
          <w:lang w:eastAsia="en-US"/>
        </w:rPr>
        <w:t xml:space="preserve">е </w:t>
      </w:r>
      <w:r w:rsidRPr="00A52DD9">
        <w:rPr>
          <w:sz w:val="28"/>
          <w:szCs w:val="28"/>
          <w:lang w:eastAsia="en-US"/>
        </w:rPr>
        <w:t>1 196</w:t>
      </w:r>
      <w:r w:rsidR="005D5C54">
        <w:rPr>
          <w:sz w:val="28"/>
          <w:szCs w:val="28"/>
          <w:lang w:eastAsia="en-US"/>
        </w:rPr>
        <w:t> </w:t>
      </w:r>
      <w:r w:rsidRPr="00A52DD9">
        <w:rPr>
          <w:sz w:val="28"/>
          <w:szCs w:val="28"/>
          <w:lang w:eastAsia="en-US"/>
        </w:rPr>
        <w:t>172</w:t>
      </w:r>
      <w:r w:rsidR="005D5C54">
        <w:rPr>
          <w:sz w:val="28"/>
          <w:szCs w:val="28"/>
          <w:lang w:eastAsia="en-US"/>
        </w:rPr>
        <w:t xml:space="preserve"> </w:t>
      </w:r>
      <w:r w:rsidRPr="00A52DD9">
        <w:rPr>
          <w:sz w:val="28"/>
          <w:szCs w:val="28"/>
          <w:lang w:eastAsia="en-US"/>
        </w:rPr>
        <w:t>рубл</w:t>
      </w:r>
      <w:r w:rsidR="00BF4C14">
        <w:rPr>
          <w:sz w:val="28"/>
          <w:szCs w:val="28"/>
          <w:lang w:eastAsia="en-US"/>
        </w:rPr>
        <w:t>я</w:t>
      </w:r>
      <w:r w:rsidR="004539CE">
        <w:rPr>
          <w:sz w:val="28"/>
          <w:szCs w:val="28"/>
          <w:lang w:eastAsia="en-US"/>
        </w:rPr>
        <w:t>.</w:t>
      </w:r>
      <w:r w:rsidR="004539CE" w:rsidRPr="00A52DD9">
        <w:rPr>
          <w:sz w:val="28"/>
          <w:szCs w:val="28"/>
          <w:lang w:eastAsia="en-US"/>
        </w:rPr>
        <w:t xml:space="preserve"> </w:t>
      </w:r>
      <w:r w:rsidR="004539CE">
        <w:rPr>
          <w:sz w:val="28"/>
          <w:szCs w:val="28"/>
          <w:lang w:eastAsia="en-US"/>
        </w:rPr>
        <w:t>С</w:t>
      </w:r>
      <w:r w:rsidR="00E55768" w:rsidRPr="00E55768">
        <w:rPr>
          <w:sz w:val="28"/>
          <w:szCs w:val="28"/>
          <w:lang w:eastAsia="en-US"/>
        </w:rPr>
        <w:t>метами расходов, утвержденными законами о республиканском бюджете</w:t>
      </w:r>
      <w:r w:rsidR="00BF4C14" w:rsidRPr="00BF4C14">
        <w:rPr>
          <w:sz w:val="28"/>
          <w:szCs w:val="28"/>
          <w:lang w:eastAsia="en-US"/>
        </w:rPr>
        <w:t xml:space="preserve"> на 2021–2025 годы</w:t>
      </w:r>
      <w:r w:rsidR="004539CE">
        <w:rPr>
          <w:sz w:val="28"/>
          <w:szCs w:val="28"/>
          <w:lang w:eastAsia="en-US"/>
        </w:rPr>
        <w:t>,</w:t>
      </w:r>
      <w:r w:rsidRPr="00A52DD9">
        <w:rPr>
          <w:sz w:val="28"/>
          <w:szCs w:val="28"/>
          <w:lang w:eastAsia="en-US"/>
        </w:rPr>
        <w:t xml:space="preserve"> плановые лимиты финансирования</w:t>
      </w:r>
      <w:r w:rsidRPr="00A52DD9">
        <w:rPr>
          <w:sz w:val="28"/>
          <w:szCs w:val="28"/>
        </w:rPr>
        <w:t xml:space="preserve"> </w:t>
      </w:r>
      <w:r w:rsidRPr="00A52DD9">
        <w:rPr>
          <w:sz w:val="28"/>
          <w:szCs w:val="28"/>
          <w:lang w:eastAsia="en-US"/>
        </w:rPr>
        <w:t>не были предусмотрены.</w:t>
      </w:r>
      <w:r w:rsidRPr="00A52DD9">
        <w:rPr>
          <w:sz w:val="28"/>
          <w:szCs w:val="28"/>
        </w:rPr>
        <w:t xml:space="preserve"> </w:t>
      </w:r>
      <w:r w:rsidRPr="00A52DD9">
        <w:rPr>
          <w:sz w:val="28"/>
          <w:szCs w:val="28"/>
          <w:lang w:eastAsia="en-US"/>
        </w:rPr>
        <w:t xml:space="preserve">При этом </w:t>
      </w:r>
      <w:r w:rsidR="00F92F83" w:rsidRPr="00A52DD9">
        <w:rPr>
          <w:sz w:val="28"/>
          <w:szCs w:val="28"/>
          <w:lang w:eastAsia="en-US"/>
        </w:rPr>
        <w:t xml:space="preserve">медицинские работники отрасли принимали активное участие в информационной работе по профилактике и предупреждению болезней в рамках Программы. В средствах массовой информации специалисты рассказывали о Программе и давали интервью. Также систематически проводилась просветительная работа, а именно информационно-пропагандистская кампания для распространения среди населения медицинских знаний о необходимости своевременного прохождения иммунизации в соответствии с </w:t>
      </w:r>
      <w:r w:rsidR="002049D3" w:rsidRPr="00A52DD9">
        <w:rPr>
          <w:sz w:val="28"/>
          <w:szCs w:val="28"/>
          <w:lang w:eastAsia="en-US"/>
        </w:rPr>
        <w:t>календарем иммунизации населения</w:t>
      </w:r>
      <w:r w:rsidR="00F92F83" w:rsidRPr="00A52DD9">
        <w:rPr>
          <w:sz w:val="28"/>
          <w:szCs w:val="28"/>
          <w:lang w:eastAsia="en-US"/>
        </w:rPr>
        <w:t>.</w:t>
      </w:r>
    </w:p>
    <w:p w:rsidR="00F92F83" w:rsidRPr="00A52DD9" w:rsidRDefault="00DF7DAF" w:rsidP="00F55461">
      <w:pPr>
        <w:pStyle w:val="a3"/>
        <w:tabs>
          <w:tab w:val="left" w:pos="426"/>
        </w:tabs>
        <w:autoSpaceDN w:val="0"/>
        <w:adjustRightInd w:val="0"/>
        <w:ind w:firstLine="709"/>
        <w:jc w:val="both"/>
        <w:rPr>
          <w:sz w:val="28"/>
          <w:szCs w:val="28"/>
        </w:rPr>
      </w:pPr>
      <w:r w:rsidRPr="00A52DD9">
        <w:rPr>
          <w:sz w:val="28"/>
          <w:szCs w:val="28"/>
          <w:lang w:eastAsia="en-US"/>
        </w:rPr>
        <w:t xml:space="preserve">6. Контроль </w:t>
      </w:r>
      <w:r w:rsidR="00F92F83" w:rsidRPr="00A52DD9">
        <w:rPr>
          <w:sz w:val="28"/>
          <w:szCs w:val="28"/>
          <w:lang w:eastAsia="en-US"/>
        </w:rPr>
        <w:t>качества вакцин и шприцев.</w:t>
      </w:r>
    </w:p>
    <w:p w:rsidR="00284D4A" w:rsidRPr="00A52DD9" w:rsidRDefault="00284D4A" w:rsidP="00284D4A">
      <w:pPr>
        <w:pStyle w:val="a3"/>
        <w:tabs>
          <w:tab w:val="left" w:pos="426"/>
        </w:tabs>
        <w:autoSpaceDN w:val="0"/>
        <w:adjustRightInd w:val="0"/>
        <w:ind w:firstLine="709"/>
        <w:jc w:val="both"/>
        <w:rPr>
          <w:sz w:val="28"/>
          <w:szCs w:val="28"/>
          <w:lang w:eastAsia="en-US"/>
        </w:rPr>
      </w:pPr>
      <w:r w:rsidRPr="00A52DD9">
        <w:rPr>
          <w:sz w:val="28"/>
          <w:szCs w:val="28"/>
          <w:lang w:eastAsia="en-US"/>
        </w:rPr>
        <w:t>Программой в 2021–2025 год</w:t>
      </w:r>
      <w:r w:rsidR="00BF4C14">
        <w:rPr>
          <w:sz w:val="28"/>
          <w:szCs w:val="28"/>
          <w:lang w:eastAsia="en-US"/>
        </w:rPr>
        <w:t>ах</w:t>
      </w:r>
      <w:r w:rsidRPr="00A52DD9">
        <w:rPr>
          <w:sz w:val="28"/>
          <w:szCs w:val="28"/>
          <w:lang w:eastAsia="en-US"/>
        </w:rPr>
        <w:t xml:space="preserve"> было предусмотрено 34</w:t>
      </w:r>
      <w:r w:rsidR="005D5C54">
        <w:rPr>
          <w:sz w:val="28"/>
          <w:szCs w:val="28"/>
          <w:lang w:eastAsia="en-US"/>
        </w:rPr>
        <w:t> </w:t>
      </w:r>
      <w:r w:rsidRPr="00A52DD9">
        <w:rPr>
          <w:sz w:val="28"/>
          <w:szCs w:val="28"/>
          <w:lang w:eastAsia="en-US"/>
        </w:rPr>
        <w:t>295</w:t>
      </w:r>
      <w:r w:rsidR="005D5C54">
        <w:rPr>
          <w:sz w:val="28"/>
          <w:szCs w:val="28"/>
          <w:lang w:eastAsia="en-US"/>
        </w:rPr>
        <w:t xml:space="preserve"> </w:t>
      </w:r>
      <w:r w:rsidRPr="00A52DD9">
        <w:rPr>
          <w:sz w:val="28"/>
          <w:szCs w:val="28"/>
          <w:lang w:eastAsia="en-US"/>
        </w:rPr>
        <w:t>рублей, плановые лимиты финансирования по данному мероприятию не предусмотрены. За весь период действия Программы все мероприятия контроля осуществлялись систематически, своевременно и в полном объеме.</w:t>
      </w:r>
    </w:p>
    <w:p w:rsidR="002A4832" w:rsidRPr="00A52DD9" w:rsidRDefault="00284D4A" w:rsidP="002A4832">
      <w:pPr>
        <w:pStyle w:val="a3"/>
        <w:tabs>
          <w:tab w:val="left" w:pos="426"/>
        </w:tabs>
        <w:autoSpaceDN w:val="0"/>
        <w:adjustRightInd w:val="0"/>
        <w:ind w:firstLine="709"/>
        <w:jc w:val="both"/>
        <w:rPr>
          <w:sz w:val="28"/>
          <w:szCs w:val="28"/>
          <w:lang w:eastAsia="en-US"/>
        </w:rPr>
      </w:pPr>
      <w:r w:rsidRPr="00A52DD9">
        <w:rPr>
          <w:sz w:val="28"/>
          <w:szCs w:val="28"/>
          <w:lang w:eastAsia="en-US"/>
        </w:rPr>
        <w:t xml:space="preserve">По линии гуманитарной помощи </w:t>
      </w:r>
      <w:r w:rsidR="002A4832" w:rsidRPr="00A52DD9">
        <w:rPr>
          <w:sz w:val="28"/>
          <w:szCs w:val="28"/>
          <w:lang w:eastAsia="en-US"/>
        </w:rPr>
        <w:t>за вес</w:t>
      </w:r>
      <w:r w:rsidR="00655711" w:rsidRPr="00A52DD9">
        <w:rPr>
          <w:sz w:val="28"/>
          <w:szCs w:val="28"/>
          <w:lang w:eastAsia="en-US"/>
        </w:rPr>
        <w:t>ь</w:t>
      </w:r>
      <w:r w:rsidR="002A4832" w:rsidRPr="00A52DD9">
        <w:rPr>
          <w:sz w:val="28"/>
          <w:szCs w:val="28"/>
          <w:lang w:eastAsia="en-US"/>
        </w:rPr>
        <w:t xml:space="preserve"> период реализации Программы было получено: </w:t>
      </w:r>
    </w:p>
    <w:p w:rsidR="00284D4A" w:rsidRPr="00A52DD9" w:rsidRDefault="00DF7DAF" w:rsidP="006F7721">
      <w:pPr>
        <w:pStyle w:val="a3"/>
        <w:tabs>
          <w:tab w:val="left" w:pos="426"/>
        </w:tabs>
        <w:autoSpaceDN w:val="0"/>
        <w:adjustRightInd w:val="0"/>
        <w:ind w:firstLine="709"/>
        <w:jc w:val="both"/>
        <w:rPr>
          <w:sz w:val="28"/>
          <w:szCs w:val="28"/>
          <w:lang w:eastAsia="en-US"/>
        </w:rPr>
      </w:pPr>
      <w:r w:rsidRPr="00A52DD9">
        <w:rPr>
          <w:sz w:val="28"/>
          <w:szCs w:val="28"/>
          <w:lang w:eastAsia="en-US"/>
        </w:rPr>
        <w:t xml:space="preserve">а) </w:t>
      </w:r>
      <w:r w:rsidR="00284D4A" w:rsidRPr="00A52DD9">
        <w:rPr>
          <w:sz w:val="28"/>
          <w:szCs w:val="28"/>
          <w:lang w:eastAsia="en-US"/>
        </w:rPr>
        <w:t>в 2021 году</w:t>
      </w:r>
      <w:r w:rsidR="002A4832" w:rsidRPr="00A52DD9">
        <w:rPr>
          <w:sz w:val="28"/>
          <w:szCs w:val="28"/>
          <w:lang w:eastAsia="en-US"/>
        </w:rPr>
        <w:t xml:space="preserve"> </w:t>
      </w:r>
      <w:r w:rsidR="006F7721" w:rsidRPr="00A52DD9">
        <w:rPr>
          <w:sz w:val="28"/>
          <w:szCs w:val="28"/>
          <w:lang w:eastAsia="en-US"/>
        </w:rPr>
        <w:t xml:space="preserve">– </w:t>
      </w:r>
      <w:r w:rsidR="00284D4A" w:rsidRPr="00A52DD9">
        <w:rPr>
          <w:sz w:val="28"/>
          <w:szCs w:val="28"/>
          <w:lang w:eastAsia="en-US"/>
        </w:rPr>
        <w:t>6 500 доз инактивированной полиомиелитной вакцины</w:t>
      </w:r>
      <w:r w:rsidR="002A4832" w:rsidRPr="00A52DD9">
        <w:rPr>
          <w:sz w:val="28"/>
          <w:szCs w:val="28"/>
          <w:lang w:eastAsia="en-US"/>
        </w:rPr>
        <w:t>, 7 000 доз вакцины против гриппа</w:t>
      </w:r>
      <w:r w:rsidR="00E813D4" w:rsidRPr="00A52DD9">
        <w:rPr>
          <w:sz w:val="28"/>
          <w:szCs w:val="28"/>
          <w:lang w:eastAsia="en-US"/>
        </w:rPr>
        <w:t>,</w:t>
      </w:r>
      <w:r w:rsidR="002A4832" w:rsidRPr="00A52DD9">
        <w:rPr>
          <w:sz w:val="28"/>
          <w:szCs w:val="28"/>
          <w:lang w:eastAsia="en-US"/>
        </w:rPr>
        <w:t xml:space="preserve"> 1 000 контейнеров для безопасной утилизации использованных шприцев, 199 885 доз вакцин</w:t>
      </w:r>
      <w:r w:rsidR="00BF4C14">
        <w:rPr>
          <w:sz w:val="28"/>
          <w:szCs w:val="28"/>
          <w:lang w:eastAsia="en-US"/>
        </w:rPr>
        <w:t>ы</w:t>
      </w:r>
      <w:r w:rsidR="001C15ED" w:rsidRPr="00A52DD9">
        <w:rPr>
          <w:sz w:val="28"/>
          <w:szCs w:val="28"/>
          <w:lang w:eastAsia="en-US"/>
        </w:rPr>
        <w:t xml:space="preserve"> против </w:t>
      </w:r>
      <w:proofErr w:type="spellStart"/>
      <w:r w:rsidR="001C15ED" w:rsidRPr="00A52DD9">
        <w:rPr>
          <w:sz w:val="28"/>
          <w:szCs w:val="28"/>
        </w:rPr>
        <w:lastRenderedPageBreak/>
        <w:t>коронавирусной</w:t>
      </w:r>
      <w:proofErr w:type="spellEnd"/>
      <w:r w:rsidR="001C15ED" w:rsidRPr="00A52DD9">
        <w:rPr>
          <w:sz w:val="28"/>
          <w:szCs w:val="28"/>
        </w:rPr>
        <w:t xml:space="preserve"> инфекции, вызванной новым типом вируса COVID-19</w:t>
      </w:r>
      <w:r w:rsidR="00BF4C14">
        <w:rPr>
          <w:sz w:val="28"/>
          <w:szCs w:val="28"/>
        </w:rPr>
        <w:t>,</w:t>
      </w:r>
      <w:r w:rsidR="002A4832" w:rsidRPr="00A52DD9">
        <w:rPr>
          <w:sz w:val="28"/>
          <w:szCs w:val="28"/>
          <w:lang w:eastAsia="en-US"/>
        </w:rPr>
        <w:t xml:space="preserve"> и средств для иммунизации (растворители для вакцин, шприцы, коробки для утилизации шприцев), холодильное оборудование для хранения вакцин</w:t>
      </w:r>
      <w:r w:rsidR="00D82BFA" w:rsidRPr="00A52DD9">
        <w:rPr>
          <w:sz w:val="28"/>
          <w:szCs w:val="28"/>
          <w:lang w:eastAsia="en-US"/>
        </w:rPr>
        <w:t xml:space="preserve"> </w:t>
      </w:r>
      <w:r w:rsidR="005D5C54">
        <w:rPr>
          <w:sz w:val="28"/>
          <w:szCs w:val="28"/>
          <w:lang w:eastAsia="en-US"/>
        </w:rPr>
        <w:br/>
      </w:r>
      <w:r w:rsidR="00D82BFA" w:rsidRPr="00A52DD9">
        <w:rPr>
          <w:sz w:val="28"/>
          <w:szCs w:val="28"/>
          <w:lang w:eastAsia="en-US"/>
        </w:rPr>
        <w:t>(28 холодильников и 7 морозильников)</w:t>
      </w:r>
      <w:r w:rsidR="002A4832" w:rsidRPr="00A52DD9">
        <w:rPr>
          <w:sz w:val="28"/>
          <w:szCs w:val="28"/>
          <w:lang w:eastAsia="en-US"/>
        </w:rPr>
        <w:t>,</w:t>
      </w:r>
      <w:r w:rsidR="00E813D4" w:rsidRPr="00A52DD9">
        <w:rPr>
          <w:sz w:val="28"/>
          <w:szCs w:val="28"/>
          <w:lang w:eastAsia="en-US"/>
        </w:rPr>
        <w:t xml:space="preserve"> 41 000 доз вакцины </w:t>
      </w:r>
      <w:r w:rsidR="00D82BFA" w:rsidRPr="00A52DD9">
        <w:rPr>
          <w:sz w:val="28"/>
          <w:szCs w:val="28"/>
          <w:lang w:eastAsia="en-US"/>
        </w:rPr>
        <w:t>первого</w:t>
      </w:r>
      <w:r w:rsidR="00E813D4" w:rsidRPr="00A52DD9">
        <w:rPr>
          <w:sz w:val="28"/>
          <w:szCs w:val="28"/>
          <w:lang w:eastAsia="en-US"/>
        </w:rPr>
        <w:t xml:space="preserve"> компонент</w:t>
      </w:r>
      <w:r w:rsidR="00D82BFA" w:rsidRPr="00A52DD9">
        <w:rPr>
          <w:sz w:val="28"/>
          <w:szCs w:val="28"/>
          <w:lang w:eastAsia="en-US"/>
        </w:rPr>
        <w:t>а</w:t>
      </w:r>
      <w:r w:rsidR="00E813D4" w:rsidRPr="00A52DD9">
        <w:rPr>
          <w:sz w:val="28"/>
          <w:szCs w:val="28"/>
          <w:lang w:eastAsia="en-US"/>
        </w:rPr>
        <w:t xml:space="preserve"> </w:t>
      </w:r>
      <w:r w:rsidR="00D82BFA" w:rsidRPr="00A52DD9">
        <w:rPr>
          <w:sz w:val="28"/>
          <w:szCs w:val="28"/>
          <w:lang w:eastAsia="en-US"/>
        </w:rPr>
        <w:t>«Спутник-</w:t>
      </w:r>
      <w:r w:rsidR="00D82BFA" w:rsidRPr="00A52DD9">
        <w:rPr>
          <w:sz w:val="28"/>
          <w:szCs w:val="28"/>
          <w:lang w:val="en-US" w:eastAsia="en-US"/>
        </w:rPr>
        <w:t>V</w:t>
      </w:r>
      <w:r w:rsidR="00D82BFA" w:rsidRPr="00A52DD9">
        <w:rPr>
          <w:sz w:val="28"/>
          <w:szCs w:val="28"/>
          <w:lang w:eastAsia="en-US"/>
        </w:rPr>
        <w:t xml:space="preserve">» </w:t>
      </w:r>
      <w:r w:rsidR="00E813D4" w:rsidRPr="00A52DD9">
        <w:rPr>
          <w:sz w:val="28"/>
          <w:szCs w:val="28"/>
          <w:lang w:eastAsia="en-US"/>
        </w:rPr>
        <w:t xml:space="preserve">и </w:t>
      </w:r>
      <w:r w:rsidR="007229F0" w:rsidRPr="00A52DD9">
        <w:rPr>
          <w:sz w:val="28"/>
          <w:szCs w:val="28"/>
          <w:lang w:eastAsia="en-US"/>
        </w:rPr>
        <w:t>41</w:t>
      </w:r>
      <w:r w:rsidR="00E813D4" w:rsidRPr="00A52DD9">
        <w:rPr>
          <w:sz w:val="28"/>
          <w:szCs w:val="28"/>
          <w:lang w:eastAsia="en-US"/>
        </w:rPr>
        <w:t xml:space="preserve"> 000 доз вакцины </w:t>
      </w:r>
      <w:r w:rsidR="00D82BFA" w:rsidRPr="00A52DD9">
        <w:rPr>
          <w:sz w:val="28"/>
          <w:szCs w:val="28"/>
          <w:lang w:eastAsia="en-US"/>
        </w:rPr>
        <w:t xml:space="preserve">второго </w:t>
      </w:r>
      <w:r w:rsidR="00655711" w:rsidRPr="00A52DD9">
        <w:rPr>
          <w:sz w:val="28"/>
          <w:szCs w:val="28"/>
          <w:lang w:eastAsia="en-US"/>
        </w:rPr>
        <w:t>компонент</w:t>
      </w:r>
      <w:r w:rsidR="00D82BFA" w:rsidRPr="00A52DD9">
        <w:rPr>
          <w:sz w:val="28"/>
          <w:szCs w:val="28"/>
          <w:lang w:eastAsia="en-US"/>
        </w:rPr>
        <w:t>а «Спутник-V»</w:t>
      </w:r>
      <w:r w:rsidR="00655711" w:rsidRPr="00A52DD9">
        <w:rPr>
          <w:sz w:val="28"/>
          <w:szCs w:val="28"/>
          <w:lang w:eastAsia="en-US"/>
        </w:rPr>
        <w:t>;</w:t>
      </w:r>
    </w:p>
    <w:p w:rsidR="00655711" w:rsidRPr="00A52DD9" w:rsidRDefault="00DF7DAF" w:rsidP="006F7721">
      <w:pPr>
        <w:pStyle w:val="a3"/>
        <w:tabs>
          <w:tab w:val="left" w:pos="426"/>
        </w:tabs>
        <w:autoSpaceDN w:val="0"/>
        <w:adjustRightInd w:val="0"/>
        <w:ind w:firstLine="709"/>
        <w:jc w:val="both"/>
        <w:rPr>
          <w:sz w:val="28"/>
          <w:szCs w:val="28"/>
          <w:lang w:eastAsia="en-US"/>
        </w:rPr>
      </w:pPr>
      <w:r w:rsidRPr="00A52DD9">
        <w:rPr>
          <w:sz w:val="28"/>
          <w:szCs w:val="28"/>
          <w:lang w:eastAsia="en-US"/>
        </w:rPr>
        <w:t xml:space="preserve">б) </w:t>
      </w:r>
      <w:r w:rsidR="00655711" w:rsidRPr="00A52DD9">
        <w:rPr>
          <w:sz w:val="28"/>
          <w:szCs w:val="28"/>
          <w:lang w:eastAsia="en-US"/>
        </w:rPr>
        <w:t xml:space="preserve">в 2022 году </w:t>
      </w:r>
      <w:r w:rsidR="006F7721" w:rsidRPr="00A52DD9">
        <w:rPr>
          <w:sz w:val="28"/>
          <w:szCs w:val="28"/>
          <w:lang w:eastAsia="en-US"/>
        </w:rPr>
        <w:t xml:space="preserve">– </w:t>
      </w:r>
      <w:r w:rsidR="00655711" w:rsidRPr="00A52DD9">
        <w:rPr>
          <w:sz w:val="28"/>
          <w:szCs w:val="28"/>
          <w:lang w:eastAsia="en-US"/>
        </w:rPr>
        <w:t>4 200 доз инактивированной полиомиелитной вакцины,</w:t>
      </w:r>
      <w:r w:rsidR="00773ABB">
        <w:rPr>
          <w:sz w:val="28"/>
          <w:szCs w:val="28"/>
          <w:lang w:eastAsia="en-US"/>
        </w:rPr>
        <w:t xml:space="preserve"> </w:t>
      </w:r>
      <w:r w:rsidR="00655711" w:rsidRPr="00A52DD9">
        <w:rPr>
          <w:sz w:val="28"/>
          <w:szCs w:val="28"/>
          <w:lang w:eastAsia="en-US"/>
        </w:rPr>
        <w:t>20 хо</w:t>
      </w:r>
      <w:r w:rsidR="001C15ED" w:rsidRPr="00A52DD9">
        <w:rPr>
          <w:sz w:val="28"/>
          <w:szCs w:val="28"/>
          <w:lang w:eastAsia="en-US"/>
        </w:rPr>
        <w:t xml:space="preserve">лодильников для хранения вакцин, 200 </w:t>
      </w:r>
      <w:proofErr w:type="spellStart"/>
      <w:r w:rsidR="001C15ED" w:rsidRPr="00A52DD9">
        <w:rPr>
          <w:sz w:val="28"/>
          <w:szCs w:val="28"/>
          <w:lang w:eastAsia="en-US"/>
        </w:rPr>
        <w:t>термоко</w:t>
      </w:r>
      <w:r w:rsidR="00E34BD6">
        <w:rPr>
          <w:sz w:val="28"/>
          <w:szCs w:val="28"/>
          <w:lang w:eastAsia="en-US"/>
        </w:rPr>
        <w:t>н</w:t>
      </w:r>
      <w:r w:rsidR="001C15ED" w:rsidRPr="00A52DD9">
        <w:rPr>
          <w:sz w:val="28"/>
          <w:szCs w:val="28"/>
          <w:lang w:eastAsia="en-US"/>
        </w:rPr>
        <w:t>те</w:t>
      </w:r>
      <w:r w:rsidR="00E34BD6">
        <w:rPr>
          <w:sz w:val="28"/>
          <w:szCs w:val="28"/>
          <w:lang w:eastAsia="en-US"/>
        </w:rPr>
        <w:t>й</w:t>
      </w:r>
      <w:r w:rsidR="001C15ED" w:rsidRPr="00A52DD9">
        <w:rPr>
          <w:sz w:val="28"/>
          <w:szCs w:val="28"/>
          <w:lang w:eastAsia="en-US"/>
        </w:rPr>
        <w:t>неров</w:t>
      </w:r>
      <w:proofErr w:type="spellEnd"/>
      <w:r w:rsidR="001C15ED" w:rsidRPr="00A52DD9">
        <w:rPr>
          <w:sz w:val="28"/>
          <w:szCs w:val="28"/>
          <w:lang w:eastAsia="en-US"/>
        </w:rPr>
        <w:t xml:space="preserve"> для транспортировки вакцин, </w:t>
      </w:r>
      <w:r w:rsidR="00F274B4" w:rsidRPr="00A52DD9">
        <w:rPr>
          <w:sz w:val="28"/>
          <w:szCs w:val="28"/>
          <w:lang w:eastAsia="en-US"/>
        </w:rPr>
        <w:t>82 530 доз вакцин</w:t>
      </w:r>
      <w:r w:rsidR="0002549F">
        <w:rPr>
          <w:sz w:val="28"/>
          <w:szCs w:val="28"/>
          <w:lang w:eastAsia="en-US"/>
        </w:rPr>
        <w:t>ы</w:t>
      </w:r>
      <w:r w:rsidR="00F274B4" w:rsidRPr="00A52DD9">
        <w:rPr>
          <w:sz w:val="28"/>
          <w:szCs w:val="28"/>
          <w:lang w:eastAsia="en-US"/>
        </w:rPr>
        <w:t xml:space="preserve"> против </w:t>
      </w:r>
      <w:proofErr w:type="spellStart"/>
      <w:r w:rsidR="00F274B4" w:rsidRPr="00A52DD9">
        <w:rPr>
          <w:sz w:val="28"/>
          <w:szCs w:val="28"/>
        </w:rPr>
        <w:t>коронавирусной</w:t>
      </w:r>
      <w:proofErr w:type="spellEnd"/>
      <w:r w:rsidR="00F274B4" w:rsidRPr="00A52DD9">
        <w:rPr>
          <w:sz w:val="28"/>
          <w:szCs w:val="28"/>
        </w:rPr>
        <w:t xml:space="preserve"> инфекции, вызванной новым типом вируса COVID-19</w:t>
      </w:r>
      <w:r w:rsidR="00156205">
        <w:rPr>
          <w:sz w:val="28"/>
          <w:szCs w:val="28"/>
        </w:rPr>
        <w:t>,</w:t>
      </w:r>
      <w:r w:rsidR="00F274B4" w:rsidRPr="00A52DD9">
        <w:rPr>
          <w:sz w:val="28"/>
          <w:szCs w:val="28"/>
        </w:rPr>
        <w:t xml:space="preserve"> и </w:t>
      </w:r>
      <w:r w:rsidR="00F274B4" w:rsidRPr="00A52DD9">
        <w:rPr>
          <w:sz w:val="28"/>
          <w:szCs w:val="28"/>
          <w:lang w:eastAsia="en-US"/>
        </w:rPr>
        <w:t>средств для иммунизации (растворители для вакцин, шприцы, коробки для утилизации шприцев)</w:t>
      </w:r>
      <w:r w:rsidR="006F7721" w:rsidRPr="00A52DD9">
        <w:rPr>
          <w:sz w:val="28"/>
          <w:szCs w:val="28"/>
          <w:lang w:eastAsia="en-US"/>
        </w:rPr>
        <w:t>;</w:t>
      </w:r>
    </w:p>
    <w:p w:rsidR="006F7721" w:rsidRPr="00A52DD9" w:rsidRDefault="00DF7DAF" w:rsidP="006F7721">
      <w:pPr>
        <w:pStyle w:val="a3"/>
        <w:tabs>
          <w:tab w:val="left" w:pos="426"/>
        </w:tabs>
        <w:autoSpaceDN w:val="0"/>
        <w:adjustRightInd w:val="0"/>
        <w:ind w:firstLine="709"/>
        <w:jc w:val="both"/>
        <w:rPr>
          <w:sz w:val="28"/>
          <w:szCs w:val="28"/>
          <w:lang w:eastAsia="en-US"/>
        </w:rPr>
      </w:pPr>
      <w:r w:rsidRPr="00A52DD9">
        <w:rPr>
          <w:sz w:val="28"/>
          <w:szCs w:val="28"/>
          <w:lang w:eastAsia="en-US"/>
        </w:rPr>
        <w:t xml:space="preserve">в) </w:t>
      </w:r>
      <w:r w:rsidR="006F7721" w:rsidRPr="00A52DD9">
        <w:rPr>
          <w:sz w:val="28"/>
          <w:szCs w:val="28"/>
          <w:lang w:eastAsia="en-US"/>
        </w:rPr>
        <w:t>в 2023 году – 3</w:t>
      </w:r>
      <w:r w:rsidR="005D5C54">
        <w:rPr>
          <w:sz w:val="28"/>
          <w:szCs w:val="28"/>
          <w:lang w:eastAsia="en-US"/>
        </w:rPr>
        <w:t> </w:t>
      </w:r>
      <w:r w:rsidR="006F7721" w:rsidRPr="00A52DD9">
        <w:rPr>
          <w:sz w:val="28"/>
          <w:szCs w:val="28"/>
          <w:lang w:eastAsia="en-US"/>
        </w:rPr>
        <w:t>500</w:t>
      </w:r>
      <w:r w:rsidR="005D5C54">
        <w:rPr>
          <w:sz w:val="28"/>
          <w:szCs w:val="28"/>
          <w:lang w:eastAsia="en-US"/>
        </w:rPr>
        <w:t xml:space="preserve"> </w:t>
      </w:r>
      <w:r w:rsidR="006F7721" w:rsidRPr="00A52DD9">
        <w:rPr>
          <w:sz w:val="28"/>
          <w:szCs w:val="28"/>
          <w:lang w:eastAsia="en-US"/>
        </w:rPr>
        <w:t xml:space="preserve">доз инактивированной полиомиелитной вакцины, 16 000 </w:t>
      </w:r>
      <w:r w:rsidR="00817F1B" w:rsidRPr="00A52DD9">
        <w:rPr>
          <w:sz w:val="28"/>
          <w:szCs w:val="28"/>
          <w:lang w:eastAsia="en-US"/>
        </w:rPr>
        <w:t>информационных</w:t>
      </w:r>
      <w:r w:rsidR="006F7721" w:rsidRPr="00A52DD9">
        <w:rPr>
          <w:sz w:val="28"/>
          <w:szCs w:val="28"/>
          <w:lang w:eastAsia="en-US"/>
        </w:rPr>
        <w:t xml:space="preserve"> брошюр, 1 авторефрижератор для транспортировки вакцин, 20 холодильников для хранения вакцин;</w:t>
      </w:r>
    </w:p>
    <w:p w:rsidR="006F7721" w:rsidRPr="00A52DD9" w:rsidRDefault="00DF7DAF" w:rsidP="006F7721">
      <w:pPr>
        <w:pStyle w:val="a3"/>
        <w:tabs>
          <w:tab w:val="left" w:pos="426"/>
        </w:tabs>
        <w:autoSpaceDN w:val="0"/>
        <w:adjustRightInd w:val="0"/>
        <w:ind w:firstLine="709"/>
        <w:jc w:val="both"/>
        <w:rPr>
          <w:sz w:val="28"/>
          <w:szCs w:val="28"/>
          <w:lang w:eastAsia="en-US"/>
        </w:rPr>
      </w:pPr>
      <w:r w:rsidRPr="00A52DD9">
        <w:rPr>
          <w:sz w:val="28"/>
          <w:szCs w:val="28"/>
          <w:lang w:eastAsia="en-US"/>
        </w:rPr>
        <w:t xml:space="preserve">г) </w:t>
      </w:r>
      <w:r w:rsidR="006F7721" w:rsidRPr="00A52DD9">
        <w:rPr>
          <w:sz w:val="28"/>
          <w:szCs w:val="28"/>
          <w:lang w:eastAsia="en-US"/>
        </w:rPr>
        <w:t>в 2024 году –</w:t>
      </w:r>
      <w:r w:rsidRPr="00A52DD9">
        <w:rPr>
          <w:sz w:val="28"/>
          <w:szCs w:val="28"/>
          <w:lang w:eastAsia="en-US"/>
        </w:rPr>
        <w:t xml:space="preserve"> </w:t>
      </w:r>
      <w:r w:rsidR="006F7721" w:rsidRPr="00A52DD9">
        <w:rPr>
          <w:sz w:val="28"/>
          <w:szCs w:val="28"/>
          <w:lang w:eastAsia="en-US"/>
        </w:rPr>
        <w:t>5</w:t>
      </w:r>
      <w:r w:rsidR="005D5C54">
        <w:rPr>
          <w:sz w:val="28"/>
          <w:szCs w:val="28"/>
          <w:lang w:eastAsia="en-US"/>
        </w:rPr>
        <w:t> </w:t>
      </w:r>
      <w:r w:rsidR="006F7721" w:rsidRPr="00A52DD9">
        <w:rPr>
          <w:sz w:val="28"/>
          <w:szCs w:val="28"/>
          <w:lang w:eastAsia="en-US"/>
        </w:rPr>
        <w:t>000</w:t>
      </w:r>
      <w:r w:rsidR="005D5C54">
        <w:rPr>
          <w:sz w:val="28"/>
          <w:szCs w:val="28"/>
          <w:lang w:eastAsia="en-US"/>
        </w:rPr>
        <w:t xml:space="preserve"> </w:t>
      </w:r>
      <w:r w:rsidR="006F7721" w:rsidRPr="00A52DD9">
        <w:rPr>
          <w:sz w:val="28"/>
          <w:szCs w:val="28"/>
          <w:lang w:eastAsia="en-US"/>
        </w:rPr>
        <w:t>доз инактивированной полиомиелитной вакцины;</w:t>
      </w:r>
    </w:p>
    <w:p w:rsidR="006F7721" w:rsidRPr="00A52DD9" w:rsidRDefault="00DF7DAF" w:rsidP="006F7721">
      <w:pPr>
        <w:pStyle w:val="a3"/>
        <w:tabs>
          <w:tab w:val="left" w:pos="426"/>
        </w:tabs>
        <w:autoSpaceDN w:val="0"/>
        <w:adjustRightInd w:val="0"/>
        <w:ind w:firstLine="709"/>
        <w:jc w:val="both"/>
        <w:rPr>
          <w:sz w:val="28"/>
          <w:szCs w:val="28"/>
          <w:lang w:eastAsia="en-US"/>
        </w:rPr>
      </w:pPr>
      <w:r w:rsidRPr="00A52DD9">
        <w:rPr>
          <w:sz w:val="28"/>
          <w:szCs w:val="28"/>
          <w:lang w:eastAsia="en-US"/>
        </w:rPr>
        <w:t xml:space="preserve">д) </w:t>
      </w:r>
      <w:r w:rsidR="006F7721" w:rsidRPr="00A52DD9">
        <w:rPr>
          <w:sz w:val="28"/>
          <w:szCs w:val="28"/>
          <w:lang w:eastAsia="en-US"/>
        </w:rPr>
        <w:t xml:space="preserve">в 2025 году – </w:t>
      </w:r>
      <w:r w:rsidR="00817F1B" w:rsidRPr="00A52DD9">
        <w:rPr>
          <w:sz w:val="28"/>
          <w:szCs w:val="28"/>
          <w:lang w:eastAsia="en-US"/>
        </w:rPr>
        <w:t>4</w:t>
      </w:r>
      <w:r w:rsidR="005D5C54">
        <w:rPr>
          <w:sz w:val="28"/>
          <w:szCs w:val="28"/>
          <w:lang w:eastAsia="en-US"/>
        </w:rPr>
        <w:t> </w:t>
      </w:r>
      <w:r w:rsidR="00817F1B" w:rsidRPr="00A52DD9">
        <w:rPr>
          <w:sz w:val="28"/>
          <w:szCs w:val="28"/>
          <w:lang w:eastAsia="en-US"/>
        </w:rPr>
        <w:t>600</w:t>
      </w:r>
      <w:r w:rsidR="005D5C54">
        <w:rPr>
          <w:sz w:val="28"/>
          <w:szCs w:val="28"/>
          <w:lang w:eastAsia="en-US"/>
        </w:rPr>
        <w:t xml:space="preserve"> </w:t>
      </w:r>
      <w:r w:rsidR="00817F1B" w:rsidRPr="00A52DD9">
        <w:rPr>
          <w:sz w:val="28"/>
          <w:szCs w:val="28"/>
          <w:lang w:eastAsia="en-US"/>
        </w:rPr>
        <w:t>доз инактивированной полиомиелитной вакцины,</w:t>
      </w:r>
      <w:r w:rsidR="00773ABB">
        <w:rPr>
          <w:sz w:val="28"/>
          <w:szCs w:val="28"/>
          <w:lang w:eastAsia="en-US"/>
        </w:rPr>
        <w:t xml:space="preserve"> </w:t>
      </w:r>
      <w:r w:rsidR="007229F0" w:rsidRPr="00A52DD9">
        <w:rPr>
          <w:sz w:val="28"/>
          <w:szCs w:val="28"/>
          <w:lang w:eastAsia="en-US"/>
        </w:rPr>
        <w:t>101</w:t>
      </w:r>
      <w:r w:rsidR="005D5C54">
        <w:rPr>
          <w:sz w:val="28"/>
          <w:szCs w:val="28"/>
          <w:lang w:eastAsia="en-US"/>
        </w:rPr>
        <w:t> </w:t>
      </w:r>
      <w:r w:rsidR="007229F0" w:rsidRPr="00A52DD9">
        <w:rPr>
          <w:sz w:val="28"/>
          <w:szCs w:val="28"/>
          <w:lang w:eastAsia="en-US"/>
        </w:rPr>
        <w:t>0</w:t>
      </w:r>
      <w:r w:rsidR="006F7721" w:rsidRPr="00A52DD9">
        <w:rPr>
          <w:sz w:val="28"/>
          <w:szCs w:val="28"/>
          <w:lang w:eastAsia="en-US"/>
        </w:rPr>
        <w:t>00</w:t>
      </w:r>
      <w:r w:rsidR="005D5C54">
        <w:rPr>
          <w:sz w:val="28"/>
          <w:szCs w:val="28"/>
          <w:lang w:eastAsia="en-US"/>
        </w:rPr>
        <w:t xml:space="preserve"> </w:t>
      </w:r>
      <w:r w:rsidR="006F7721" w:rsidRPr="00A52DD9">
        <w:rPr>
          <w:sz w:val="28"/>
          <w:szCs w:val="28"/>
          <w:lang w:eastAsia="en-US"/>
        </w:rPr>
        <w:t>шприцев</w:t>
      </w:r>
      <w:r w:rsidR="00817F1B" w:rsidRPr="00A52DD9">
        <w:rPr>
          <w:sz w:val="28"/>
          <w:szCs w:val="28"/>
          <w:lang w:eastAsia="en-US"/>
        </w:rPr>
        <w:t>, 1</w:t>
      </w:r>
      <w:r w:rsidR="003F3085">
        <w:rPr>
          <w:sz w:val="28"/>
          <w:szCs w:val="28"/>
          <w:lang w:eastAsia="en-US"/>
        </w:rPr>
        <w:t> </w:t>
      </w:r>
      <w:r w:rsidR="00817F1B" w:rsidRPr="00A52DD9">
        <w:rPr>
          <w:sz w:val="28"/>
          <w:szCs w:val="28"/>
          <w:lang w:eastAsia="en-US"/>
        </w:rPr>
        <w:t>200</w:t>
      </w:r>
      <w:r w:rsidR="003F3085">
        <w:rPr>
          <w:sz w:val="28"/>
          <w:szCs w:val="28"/>
          <w:lang w:eastAsia="en-US"/>
        </w:rPr>
        <w:t xml:space="preserve"> </w:t>
      </w:r>
      <w:r w:rsidR="00817F1B" w:rsidRPr="00A52DD9">
        <w:rPr>
          <w:sz w:val="28"/>
          <w:szCs w:val="28"/>
          <w:lang w:eastAsia="en-US"/>
        </w:rPr>
        <w:t xml:space="preserve">контейнеров для утилизации шприцев. </w:t>
      </w:r>
    </w:p>
    <w:p w:rsidR="00092C86" w:rsidRPr="00A52DD9" w:rsidRDefault="00804414" w:rsidP="00527880">
      <w:pPr>
        <w:pStyle w:val="a3"/>
        <w:tabs>
          <w:tab w:val="left" w:pos="426"/>
        </w:tabs>
        <w:autoSpaceDN w:val="0"/>
        <w:adjustRightInd w:val="0"/>
        <w:ind w:firstLine="709"/>
        <w:jc w:val="both"/>
        <w:rPr>
          <w:sz w:val="28"/>
          <w:szCs w:val="28"/>
          <w:lang w:eastAsia="en-US"/>
        </w:rPr>
      </w:pPr>
      <w:r w:rsidRPr="00A52DD9">
        <w:rPr>
          <w:sz w:val="28"/>
          <w:szCs w:val="28"/>
          <w:lang w:eastAsia="en-US"/>
        </w:rPr>
        <w:t xml:space="preserve">Из анализа представленных в отчете данных следует, что в ходе реализации Программы за 2021–2025 годы был выявлен ряд основных причин недостаточного уровня охвата </w:t>
      </w:r>
      <w:r w:rsidR="00DE4E92" w:rsidRPr="00A52DD9">
        <w:rPr>
          <w:sz w:val="28"/>
          <w:szCs w:val="28"/>
          <w:lang w:eastAsia="en-US"/>
        </w:rPr>
        <w:t>вакцинацией,</w:t>
      </w:r>
      <w:r w:rsidR="001648D2" w:rsidRPr="00A52DD9">
        <w:rPr>
          <w:sz w:val="28"/>
          <w:szCs w:val="28"/>
          <w:lang w:eastAsia="en-US"/>
        </w:rPr>
        <w:t xml:space="preserve"> </w:t>
      </w:r>
      <w:r w:rsidR="00DE4E92" w:rsidRPr="00A52DD9">
        <w:rPr>
          <w:sz w:val="28"/>
          <w:szCs w:val="28"/>
          <w:lang w:eastAsia="en-US"/>
        </w:rPr>
        <w:t xml:space="preserve">которыми </w:t>
      </w:r>
      <w:r w:rsidR="001648D2" w:rsidRPr="00A52DD9">
        <w:rPr>
          <w:sz w:val="28"/>
          <w:szCs w:val="28"/>
          <w:lang w:eastAsia="en-US"/>
        </w:rPr>
        <w:t>являются:</w:t>
      </w:r>
    </w:p>
    <w:p w:rsidR="00867B4F" w:rsidRPr="00A52DD9" w:rsidRDefault="00867B4F" w:rsidP="00867B4F">
      <w:pPr>
        <w:pStyle w:val="a3"/>
        <w:tabs>
          <w:tab w:val="left" w:pos="426"/>
        </w:tabs>
        <w:autoSpaceDN w:val="0"/>
        <w:adjustRightInd w:val="0"/>
        <w:ind w:firstLine="709"/>
        <w:jc w:val="both"/>
        <w:rPr>
          <w:sz w:val="28"/>
          <w:szCs w:val="28"/>
          <w:lang w:eastAsia="en-US"/>
        </w:rPr>
      </w:pPr>
      <w:r w:rsidRPr="00A52DD9">
        <w:rPr>
          <w:sz w:val="28"/>
          <w:szCs w:val="28"/>
          <w:lang w:eastAsia="en-US"/>
        </w:rPr>
        <w:t>1. Необоснованные медицинские противопоказания к вакцинации детей узкими специалистами (неврологи, хирурги, аллергологи, нефрологи и др</w:t>
      </w:r>
      <w:r w:rsidR="00FC583B" w:rsidRPr="00A52DD9">
        <w:rPr>
          <w:sz w:val="28"/>
          <w:szCs w:val="28"/>
          <w:lang w:eastAsia="en-US"/>
        </w:rPr>
        <w:t>угие</w:t>
      </w:r>
      <w:r w:rsidRPr="00A52DD9">
        <w:rPr>
          <w:sz w:val="28"/>
          <w:szCs w:val="28"/>
          <w:lang w:eastAsia="en-US"/>
        </w:rPr>
        <w:t>), врачами</w:t>
      </w:r>
      <w:r w:rsidR="00156205">
        <w:rPr>
          <w:sz w:val="28"/>
          <w:szCs w:val="28"/>
          <w:lang w:eastAsia="en-US"/>
        </w:rPr>
        <w:t>-</w:t>
      </w:r>
      <w:r w:rsidRPr="00A52DD9">
        <w:rPr>
          <w:sz w:val="28"/>
          <w:szCs w:val="28"/>
          <w:lang w:eastAsia="en-US"/>
        </w:rPr>
        <w:t>педиатрами, а также постановка врачами</w:t>
      </w:r>
      <w:r w:rsidR="00156205">
        <w:rPr>
          <w:sz w:val="28"/>
          <w:szCs w:val="28"/>
          <w:lang w:eastAsia="en-US"/>
        </w:rPr>
        <w:t>-</w:t>
      </w:r>
      <w:r w:rsidRPr="00A52DD9">
        <w:rPr>
          <w:sz w:val="28"/>
          <w:szCs w:val="28"/>
          <w:lang w:eastAsia="en-US"/>
        </w:rPr>
        <w:t xml:space="preserve">педиатрами длительных медицинских отводов влечет отсрочку </w:t>
      </w:r>
      <w:r w:rsidR="00FC583B" w:rsidRPr="00A52DD9">
        <w:rPr>
          <w:sz w:val="28"/>
          <w:szCs w:val="28"/>
          <w:lang w:eastAsia="en-US"/>
        </w:rPr>
        <w:t>иммунизации на длительные сроки.</w:t>
      </w:r>
    </w:p>
    <w:p w:rsidR="00867B4F" w:rsidRPr="00A52DD9" w:rsidRDefault="00867B4F" w:rsidP="00867B4F">
      <w:pPr>
        <w:pStyle w:val="a3"/>
        <w:tabs>
          <w:tab w:val="left" w:pos="426"/>
        </w:tabs>
        <w:autoSpaceDN w:val="0"/>
        <w:adjustRightInd w:val="0"/>
        <w:ind w:firstLine="709"/>
        <w:jc w:val="both"/>
        <w:rPr>
          <w:sz w:val="28"/>
          <w:szCs w:val="28"/>
          <w:lang w:eastAsia="en-US"/>
        </w:rPr>
      </w:pPr>
      <w:r w:rsidRPr="00A52DD9">
        <w:rPr>
          <w:sz w:val="28"/>
          <w:szCs w:val="28"/>
          <w:lang w:eastAsia="en-US"/>
        </w:rPr>
        <w:t>2. Недостаточн</w:t>
      </w:r>
      <w:r w:rsidR="0002549F">
        <w:rPr>
          <w:sz w:val="28"/>
          <w:szCs w:val="28"/>
          <w:lang w:eastAsia="en-US"/>
        </w:rPr>
        <w:t>ая</w:t>
      </w:r>
      <w:r w:rsidRPr="00A52DD9">
        <w:rPr>
          <w:sz w:val="28"/>
          <w:szCs w:val="28"/>
          <w:lang w:eastAsia="en-US"/>
        </w:rPr>
        <w:t xml:space="preserve"> обеспечен</w:t>
      </w:r>
      <w:r w:rsidR="0002549F">
        <w:rPr>
          <w:sz w:val="28"/>
          <w:szCs w:val="28"/>
          <w:lang w:eastAsia="en-US"/>
        </w:rPr>
        <w:t>ность</w:t>
      </w:r>
      <w:r w:rsidRPr="00A52DD9">
        <w:rPr>
          <w:sz w:val="28"/>
          <w:szCs w:val="28"/>
          <w:lang w:eastAsia="en-US"/>
        </w:rPr>
        <w:t xml:space="preserve"> медицинскими кадрами (участковы</w:t>
      </w:r>
      <w:r w:rsidR="0002549F">
        <w:rPr>
          <w:sz w:val="28"/>
          <w:szCs w:val="28"/>
          <w:lang w:eastAsia="en-US"/>
        </w:rPr>
        <w:t>ми</w:t>
      </w:r>
      <w:r w:rsidRPr="00A52DD9">
        <w:rPr>
          <w:sz w:val="28"/>
          <w:szCs w:val="28"/>
          <w:lang w:eastAsia="en-US"/>
        </w:rPr>
        <w:t xml:space="preserve"> врач</w:t>
      </w:r>
      <w:r w:rsidR="0002549F">
        <w:rPr>
          <w:sz w:val="28"/>
          <w:szCs w:val="28"/>
          <w:lang w:eastAsia="en-US"/>
        </w:rPr>
        <w:t>ами</w:t>
      </w:r>
      <w:r w:rsidRPr="00A52DD9">
        <w:rPr>
          <w:sz w:val="28"/>
          <w:szCs w:val="28"/>
          <w:lang w:eastAsia="en-US"/>
        </w:rPr>
        <w:t>-педиатр</w:t>
      </w:r>
      <w:r w:rsidR="00E34BD6">
        <w:rPr>
          <w:sz w:val="28"/>
          <w:szCs w:val="28"/>
          <w:lang w:eastAsia="en-US"/>
        </w:rPr>
        <w:t>ами</w:t>
      </w:r>
      <w:r w:rsidRPr="00A52DD9">
        <w:rPr>
          <w:sz w:val="28"/>
          <w:szCs w:val="28"/>
          <w:lang w:eastAsia="en-US"/>
        </w:rPr>
        <w:t>, медицински</w:t>
      </w:r>
      <w:r w:rsidR="0002549F">
        <w:rPr>
          <w:sz w:val="28"/>
          <w:szCs w:val="28"/>
          <w:lang w:eastAsia="en-US"/>
        </w:rPr>
        <w:t>ми</w:t>
      </w:r>
      <w:r w:rsidRPr="00A52DD9">
        <w:rPr>
          <w:sz w:val="28"/>
          <w:szCs w:val="28"/>
          <w:lang w:eastAsia="en-US"/>
        </w:rPr>
        <w:t xml:space="preserve"> сестр</w:t>
      </w:r>
      <w:r w:rsidR="0002549F">
        <w:rPr>
          <w:sz w:val="28"/>
          <w:szCs w:val="28"/>
          <w:lang w:eastAsia="en-US"/>
        </w:rPr>
        <w:t>ами</w:t>
      </w:r>
      <w:r w:rsidRPr="00A52DD9">
        <w:rPr>
          <w:sz w:val="28"/>
          <w:szCs w:val="28"/>
          <w:lang w:eastAsia="en-US"/>
        </w:rPr>
        <w:t>)</w:t>
      </w:r>
      <w:r w:rsidR="008F3C6B">
        <w:rPr>
          <w:sz w:val="28"/>
          <w:szCs w:val="28"/>
          <w:lang w:eastAsia="en-US"/>
        </w:rPr>
        <w:t>,</w:t>
      </w:r>
      <w:r w:rsidRPr="00A52DD9">
        <w:rPr>
          <w:sz w:val="28"/>
          <w:szCs w:val="28"/>
          <w:lang w:eastAsia="en-US"/>
        </w:rPr>
        <w:t xml:space="preserve"> </w:t>
      </w:r>
      <w:r w:rsidR="008F3C6B">
        <w:rPr>
          <w:sz w:val="28"/>
          <w:szCs w:val="28"/>
          <w:lang w:eastAsia="en-US"/>
        </w:rPr>
        <w:t>осуществляю</w:t>
      </w:r>
      <w:r w:rsidR="0002549F">
        <w:rPr>
          <w:sz w:val="28"/>
          <w:szCs w:val="28"/>
          <w:lang w:eastAsia="en-US"/>
        </w:rPr>
        <w:t>щими</w:t>
      </w:r>
      <w:r w:rsidR="0034731E" w:rsidRPr="00A52DD9">
        <w:rPr>
          <w:sz w:val="28"/>
          <w:szCs w:val="28"/>
          <w:lang w:eastAsia="en-US"/>
        </w:rPr>
        <w:t xml:space="preserve"> </w:t>
      </w:r>
      <w:r w:rsidRPr="00A52DD9">
        <w:rPr>
          <w:sz w:val="28"/>
          <w:szCs w:val="28"/>
          <w:lang w:eastAsia="en-US"/>
        </w:rPr>
        <w:t>организаци</w:t>
      </w:r>
      <w:r w:rsidR="0034731E" w:rsidRPr="00A52DD9">
        <w:rPr>
          <w:sz w:val="28"/>
          <w:szCs w:val="28"/>
          <w:lang w:eastAsia="en-US"/>
        </w:rPr>
        <w:t>ю</w:t>
      </w:r>
      <w:r w:rsidRPr="00A52DD9">
        <w:rPr>
          <w:sz w:val="28"/>
          <w:szCs w:val="28"/>
          <w:lang w:eastAsia="en-US"/>
        </w:rPr>
        <w:t xml:space="preserve"> и п</w:t>
      </w:r>
      <w:r w:rsidR="00FC583B" w:rsidRPr="00A52DD9">
        <w:rPr>
          <w:sz w:val="28"/>
          <w:szCs w:val="28"/>
          <w:lang w:eastAsia="en-US"/>
        </w:rPr>
        <w:t>роведение иммунизации.</w:t>
      </w:r>
      <w:r w:rsidRPr="00A52DD9">
        <w:rPr>
          <w:sz w:val="28"/>
          <w:szCs w:val="28"/>
          <w:lang w:eastAsia="en-US"/>
        </w:rPr>
        <w:t xml:space="preserve"> </w:t>
      </w:r>
    </w:p>
    <w:p w:rsidR="00867B4F" w:rsidRPr="00A52DD9" w:rsidRDefault="00867B4F" w:rsidP="00867B4F">
      <w:pPr>
        <w:pStyle w:val="a3"/>
        <w:tabs>
          <w:tab w:val="left" w:pos="426"/>
        </w:tabs>
        <w:autoSpaceDN w:val="0"/>
        <w:adjustRightInd w:val="0"/>
        <w:ind w:firstLine="709"/>
        <w:jc w:val="both"/>
        <w:rPr>
          <w:sz w:val="28"/>
          <w:szCs w:val="28"/>
          <w:lang w:eastAsia="en-US"/>
        </w:rPr>
      </w:pPr>
      <w:r w:rsidRPr="00A52DD9">
        <w:rPr>
          <w:sz w:val="28"/>
          <w:szCs w:val="28"/>
          <w:lang w:eastAsia="en-US"/>
        </w:rPr>
        <w:t>3. Значительный рост за последние годы отказов родителей от вакцинации по религиозным и другим немотивированным причинам.</w:t>
      </w:r>
    </w:p>
    <w:p w:rsidR="008F3C6B" w:rsidRDefault="00867B4F" w:rsidP="00867B4F">
      <w:pPr>
        <w:pStyle w:val="a3"/>
        <w:tabs>
          <w:tab w:val="left" w:pos="426"/>
        </w:tabs>
        <w:autoSpaceDN w:val="0"/>
        <w:adjustRightInd w:val="0"/>
        <w:ind w:firstLine="709"/>
        <w:jc w:val="both"/>
        <w:rPr>
          <w:sz w:val="28"/>
          <w:szCs w:val="28"/>
          <w:lang w:eastAsia="en-US"/>
        </w:rPr>
      </w:pPr>
      <w:r w:rsidRPr="00A52DD9">
        <w:rPr>
          <w:sz w:val="28"/>
          <w:szCs w:val="28"/>
          <w:lang w:eastAsia="en-US"/>
        </w:rPr>
        <w:t xml:space="preserve">4. В связи с последствиями пандемии </w:t>
      </w:r>
      <w:proofErr w:type="spellStart"/>
      <w:r w:rsidRPr="00A52DD9">
        <w:rPr>
          <w:sz w:val="28"/>
          <w:szCs w:val="28"/>
          <w:lang w:eastAsia="en-US"/>
        </w:rPr>
        <w:t>коронавирусной</w:t>
      </w:r>
      <w:proofErr w:type="spellEnd"/>
      <w:r w:rsidRPr="00A52DD9">
        <w:rPr>
          <w:sz w:val="28"/>
          <w:szCs w:val="28"/>
          <w:lang w:eastAsia="en-US"/>
        </w:rPr>
        <w:t xml:space="preserve"> инфекции, вызванной новым типом вируса COVID-19</w:t>
      </w:r>
      <w:r w:rsidR="008F3C6B">
        <w:rPr>
          <w:sz w:val="28"/>
          <w:szCs w:val="28"/>
          <w:lang w:eastAsia="en-US"/>
        </w:rPr>
        <w:t>,</w:t>
      </w:r>
      <w:r w:rsidRPr="00A52DD9">
        <w:rPr>
          <w:sz w:val="28"/>
          <w:szCs w:val="28"/>
          <w:lang w:eastAsia="en-US"/>
        </w:rPr>
        <w:t xml:space="preserve"> была приостановлена вакцинация части возрастных групп детского населения, что привело к нарушению графика иммунизации</w:t>
      </w:r>
      <w:r w:rsidR="008F3C6B">
        <w:rPr>
          <w:sz w:val="28"/>
          <w:szCs w:val="28"/>
          <w:lang w:eastAsia="en-US"/>
        </w:rPr>
        <w:t>, и после его возобновления определенное количество детей с незавершенным курсом иммунизации вследствие смещения срока ревакцинации не было учтено в отчетных годах.</w:t>
      </w:r>
      <w:r w:rsidR="008F3C6B" w:rsidRPr="008F3C6B">
        <w:rPr>
          <w:sz w:val="28"/>
          <w:szCs w:val="28"/>
          <w:lang w:eastAsia="en-US"/>
        </w:rPr>
        <w:t xml:space="preserve"> </w:t>
      </w:r>
      <w:r w:rsidR="008F3C6B" w:rsidRPr="00A52DD9">
        <w:rPr>
          <w:sz w:val="28"/>
          <w:szCs w:val="28"/>
          <w:lang w:eastAsia="en-US"/>
        </w:rPr>
        <w:t>Завершение курса иммунизации проведено позже.</w:t>
      </w:r>
    </w:p>
    <w:p w:rsidR="00867B4F" w:rsidRPr="00A52DD9" w:rsidRDefault="00867B4F" w:rsidP="00867B4F">
      <w:pPr>
        <w:pStyle w:val="a3"/>
        <w:tabs>
          <w:tab w:val="left" w:pos="709"/>
          <w:tab w:val="left" w:pos="851"/>
          <w:tab w:val="left" w:pos="993"/>
        </w:tabs>
        <w:suppressAutoHyphens/>
        <w:ind w:firstLine="720"/>
        <w:jc w:val="both"/>
        <w:rPr>
          <w:b/>
          <w:sz w:val="28"/>
          <w:szCs w:val="28"/>
        </w:rPr>
      </w:pPr>
      <w:r w:rsidRPr="00A52DD9">
        <w:rPr>
          <w:sz w:val="28"/>
          <w:szCs w:val="28"/>
        </w:rPr>
        <w:t xml:space="preserve">На основании вышеизложенного, в соответствии с </w:t>
      </w:r>
      <w:r w:rsidR="00AB5FC8" w:rsidRPr="00A52DD9">
        <w:rPr>
          <w:sz w:val="28"/>
          <w:szCs w:val="28"/>
        </w:rPr>
        <w:t xml:space="preserve">пунктом </w:t>
      </w:r>
      <w:r w:rsidR="006177EC" w:rsidRPr="00A52DD9">
        <w:rPr>
          <w:sz w:val="28"/>
          <w:szCs w:val="28"/>
        </w:rPr>
        <w:t>19</w:t>
      </w:r>
      <w:r w:rsidR="00AB5FC8" w:rsidRPr="00A52DD9">
        <w:rPr>
          <w:sz w:val="28"/>
          <w:szCs w:val="28"/>
        </w:rPr>
        <w:t xml:space="preserve"> главы</w:t>
      </w:r>
      <w:r w:rsidRPr="00A52DD9">
        <w:rPr>
          <w:sz w:val="28"/>
          <w:szCs w:val="28"/>
        </w:rPr>
        <w:t xml:space="preserve"> 8 Приложения к Закону </w:t>
      </w:r>
      <w:r w:rsidR="004A22C1">
        <w:rPr>
          <w:sz w:val="28"/>
          <w:szCs w:val="28"/>
        </w:rPr>
        <w:t xml:space="preserve">Приднестровской Молдавской Республики </w:t>
      </w:r>
      <w:r w:rsidR="004A22C1">
        <w:rPr>
          <w:sz w:val="28"/>
          <w:szCs w:val="28"/>
        </w:rPr>
        <w:br/>
      </w:r>
      <w:r w:rsidRPr="00A52DD9">
        <w:rPr>
          <w:sz w:val="28"/>
          <w:szCs w:val="28"/>
        </w:rPr>
        <w:t xml:space="preserve">«Об утверждении государственной целевой программы «Иммунизация населения Приднестровской Молдавской Республики» на 2021–2025 годы», руководствуясь пунктом 4 статьи 100 Регламента Верховного Совета Приднестровской Молдавской Республики, Верховный Совет Приднестровской Молдавской Республики </w:t>
      </w:r>
      <w:r w:rsidRPr="00A52DD9">
        <w:rPr>
          <w:b/>
          <w:sz w:val="28"/>
          <w:szCs w:val="28"/>
        </w:rPr>
        <w:t>ПОСТАНОВЛЯЕТ:</w:t>
      </w:r>
    </w:p>
    <w:p w:rsidR="00867B4F" w:rsidRPr="00A52DD9" w:rsidRDefault="00867B4F" w:rsidP="00867B4F">
      <w:pPr>
        <w:tabs>
          <w:tab w:val="num" w:pos="0"/>
        </w:tabs>
        <w:ind w:firstLine="720"/>
        <w:jc w:val="both"/>
        <w:rPr>
          <w:sz w:val="28"/>
          <w:szCs w:val="28"/>
        </w:rPr>
      </w:pPr>
      <w:r w:rsidRPr="00A52DD9">
        <w:rPr>
          <w:sz w:val="28"/>
          <w:szCs w:val="28"/>
        </w:rPr>
        <w:lastRenderedPageBreak/>
        <w:t>1. Утвердить отчет о конечных результатах исполнения мероприятий государственной целевой программы «Иммунизация населения Приднестровской Молдавской Республики» на 2021–2025 годы</w:t>
      </w:r>
      <w:r w:rsidR="0084281C" w:rsidRPr="00A52DD9">
        <w:rPr>
          <w:sz w:val="28"/>
          <w:szCs w:val="28"/>
        </w:rPr>
        <w:t xml:space="preserve"> </w:t>
      </w:r>
      <w:r w:rsidRPr="00A52DD9">
        <w:rPr>
          <w:sz w:val="28"/>
          <w:szCs w:val="28"/>
        </w:rPr>
        <w:t>и эффективности использования финансовых средств за весь период ее реализации.</w:t>
      </w:r>
    </w:p>
    <w:p w:rsidR="00867B4F" w:rsidRPr="00A52DD9" w:rsidRDefault="00867B4F" w:rsidP="006A1C37">
      <w:pPr>
        <w:pStyle w:val="a7"/>
        <w:ind w:firstLine="709"/>
        <w:jc w:val="both"/>
        <w:rPr>
          <w:rFonts w:ascii="Times New Roman" w:hAnsi="Times New Roman" w:cs="Times New Roman"/>
          <w:sz w:val="28"/>
          <w:szCs w:val="28"/>
        </w:rPr>
      </w:pPr>
    </w:p>
    <w:p w:rsidR="007F7C61" w:rsidRPr="00A52DD9" w:rsidRDefault="007F7C61" w:rsidP="007F7C61">
      <w:pPr>
        <w:tabs>
          <w:tab w:val="num" w:pos="0"/>
        </w:tabs>
        <w:ind w:firstLine="709"/>
        <w:jc w:val="both"/>
        <w:rPr>
          <w:sz w:val="28"/>
          <w:szCs w:val="28"/>
        </w:rPr>
      </w:pPr>
      <w:r w:rsidRPr="00A52DD9">
        <w:rPr>
          <w:sz w:val="28"/>
          <w:szCs w:val="28"/>
        </w:rPr>
        <w:t>2. Настоящее Постановление вступает в силу со дня подписания и подлежит официальному опубликованию.</w:t>
      </w:r>
    </w:p>
    <w:p w:rsidR="007F7C61" w:rsidRDefault="007F7C61" w:rsidP="007F7C61">
      <w:pPr>
        <w:tabs>
          <w:tab w:val="num" w:pos="0"/>
        </w:tabs>
        <w:ind w:firstLine="709"/>
        <w:jc w:val="both"/>
        <w:rPr>
          <w:sz w:val="28"/>
          <w:szCs w:val="28"/>
        </w:rPr>
      </w:pPr>
    </w:p>
    <w:p w:rsidR="007968CD" w:rsidRPr="00A52DD9" w:rsidRDefault="007968CD" w:rsidP="007F7C61">
      <w:pPr>
        <w:tabs>
          <w:tab w:val="num" w:pos="0"/>
        </w:tabs>
        <w:ind w:firstLine="709"/>
        <w:jc w:val="both"/>
        <w:rPr>
          <w:sz w:val="28"/>
          <w:szCs w:val="28"/>
        </w:rPr>
      </w:pPr>
    </w:p>
    <w:p w:rsidR="00A52DD9" w:rsidRPr="00927006" w:rsidRDefault="00A52DD9" w:rsidP="00A52DD9">
      <w:pPr>
        <w:jc w:val="both"/>
        <w:rPr>
          <w:sz w:val="28"/>
          <w:szCs w:val="28"/>
        </w:rPr>
      </w:pPr>
    </w:p>
    <w:p w:rsidR="00A52DD9" w:rsidRPr="00927006" w:rsidRDefault="00A52DD9" w:rsidP="00A52DD9">
      <w:pPr>
        <w:widowControl w:val="0"/>
        <w:rPr>
          <w:bCs/>
          <w:color w:val="000000"/>
          <w:sz w:val="28"/>
          <w:szCs w:val="28"/>
        </w:rPr>
      </w:pPr>
      <w:r w:rsidRPr="00927006">
        <w:rPr>
          <w:bCs/>
          <w:color w:val="000000"/>
          <w:sz w:val="28"/>
          <w:szCs w:val="28"/>
        </w:rPr>
        <w:t xml:space="preserve">Председатель Верховного </w:t>
      </w:r>
    </w:p>
    <w:p w:rsidR="00A52DD9" w:rsidRPr="00927006" w:rsidRDefault="00A52DD9" w:rsidP="00A52DD9">
      <w:pPr>
        <w:widowControl w:val="0"/>
        <w:rPr>
          <w:bCs/>
          <w:color w:val="000000"/>
          <w:sz w:val="28"/>
          <w:szCs w:val="28"/>
        </w:rPr>
      </w:pPr>
      <w:r w:rsidRPr="00927006">
        <w:rPr>
          <w:bCs/>
          <w:color w:val="000000"/>
          <w:sz w:val="28"/>
          <w:szCs w:val="28"/>
        </w:rPr>
        <w:t xml:space="preserve">Совета Приднестровской </w:t>
      </w:r>
    </w:p>
    <w:p w:rsidR="00A52DD9" w:rsidRPr="00927006" w:rsidRDefault="00A52DD9" w:rsidP="00A52DD9">
      <w:pPr>
        <w:widowControl w:val="0"/>
        <w:rPr>
          <w:bCs/>
          <w:color w:val="000000"/>
          <w:sz w:val="28"/>
          <w:szCs w:val="28"/>
        </w:rPr>
      </w:pPr>
      <w:r w:rsidRPr="00927006">
        <w:rPr>
          <w:bCs/>
          <w:color w:val="000000"/>
          <w:sz w:val="28"/>
          <w:szCs w:val="28"/>
        </w:rPr>
        <w:t>Молдавской Республики</w:t>
      </w:r>
      <w:r w:rsidR="00773ABB">
        <w:rPr>
          <w:bCs/>
          <w:color w:val="000000"/>
          <w:sz w:val="28"/>
          <w:szCs w:val="28"/>
        </w:rPr>
        <w:tab/>
      </w:r>
      <w:r w:rsidR="00773ABB">
        <w:rPr>
          <w:bCs/>
          <w:color w:val="000000"/>
          <w:sz w:val="28"/>
          <w:szCs w:val="28"/>
        </w:rPr>
        <w:tab/>
      </w:r>
      <w:r w:rsidR="00773ABB">
        <w:rPr>
          <w:bCs/>
          <w:color w:val="000000"/>
          <w:sz w:val="28"/>
          <w:szCs w:val="28"/>
        </w:rPr>
        <w:tab/>
      </w:r>
      <w:r w:rsidR="00773ABB">
        <w:rPr>
          <w:bCs/>
          <w:color w:val="000000"/>
          <w:sz w:val="28"/>
          <w:szCs w:val="28"/>
        </w:rPr>
        <w:tab/>
      </w:r>
      <w:r w:rsidR="00773ABB">
        <w:rPr>
          <w:bCs/>
          <w:color w:val="000000"/>
          <w:sz w:val="28"/>
          <w:szCs w:val="28"/>
        </w:rPr>
        <w:tab/>
        <w:t xml:space="preserve">        </w:t>
      </w:r>
      <w:r>
        <w:rPr>
          <w:bCs/>
          <w:color w:val="000000"/>
          <w:sz w:val="28"/>
          <w:szCs w:val="28"/>
        </w:rPr>
        <w:t>Т</w:t>
      </w:r>
      <w:r w:rsidRPr="00927006">
        <w:rPr>
          <w:bCs/>
          <w:color w:val="000000"/>
          <w:sz w:val="28"/>
          <w:szCs w:val="28"/>
        </w:rPr>
        <w:t xml:space="preserve">. </w:t>
      </w:r>
      <w:r>
        <w:rPr>
          <w:bCs/>
          <w:color w:val="000000"/>
          <w:sz w:val="28"/>
          <w:szCs w:val="28"/>
        </w:rPr>
        <w:t>Д. ЗАЛЕВСКАЯ</w:t>
      </w:r>
    </w:p>
    <w:p w:rsidR="00A52DD9" w:rsidRPr="00927006" w:rsidRDefault="00A52DD9" w:rsidP="00A52DD9">
      <w:pPr>
        <w:widowControl w:val="0"/>
        <w:rPr>
          <w:bCs/>
          <w:color w:val="000000"/>
          <w:sz w:val="28"/>
          <w:szCs w:val="28"/>
        </w:rPr>
      </w:pPr>
    </w:p>
    <w:p w:rsidR="00A52DD9" w:rsidRPr="00927006" w:rsidRDefault="00A52DD9" w:rsidP="00A52DD9">
      <w:pPr>
        <w:widowControl w:val="0"/>
        <w:rPr>
          <w:bCs/>
          <w:color w:val="000000"/>
          <w:sz w:val="28"/>
          <w:szCs w:val="28"/>
        </w:rPr>
      </w:pPr>
      <w:r w:rsidRPr="00927006">
        <w:rPr>
          <w:bCs/>
          <w:color w:val="000000"/>
          <w:sz w:val="28"/>
          <w:szCs w:val="28"/>
        </w:rPr>
        <w:t xml:space="preserve">г. Тирасполь </w:t>
      </w:r>
    </w:p>
    <w:p w:rsidR="00A52DD9" w:rsidRPr="00927006" w:rsidRDefault="00491337" w:rsidP="00A52DD9">
      <w:pPr>
        <w:widowControl w:val="0"/>
        <w:rPr>
          <w:bCs/>
          <w:color w:val="000000"/>
          <w:sz w:val="28"/>
          <w:szCs w:val="28"/>
        </w:rPr>
      </w:pPr>
      <w:r>
        <w:rPr>
          <w:bCs/>
          <w:color w:val="000000"/>
          <w:sz w:val="28"/>
          <w:szCs w:val="28"/>
        </w:rPr>
        <w:t>19</w:t>
      </w:r>
      <w:bookmarkStart w:id="0" w:name="_GoBack"/>
      <w:bookmarkEnd w:id="0"/>
      <w:r w:rsidR="00A52DD9" w:rsidRPr="00927006">
        <w:rPr>
          <w:bCs/>
          <w:color w:val="000000"/>
          <w:sz w:val="28"/>
          <w:szCs w:val="28"/>
        </w:rPr>
        <w:t xml:space="preserve"> </w:t>
      </w:r>
      <w:r w:rsidR="00A52DD9">
        <w:rPr>
          <w:bCs/>
          <w:color w:val="000000"/>
          <w:sz w:val="28"/>
          <w:szCs w:val="28"/>
        </w:rPr>
        <w:t>мая</w:t>
      </w:r>
      <w:r w:rsidR="00A52DD9" w:rsidRPr="00927006">
        <w:rPr>
          <w:bCs/>
          <w:color w:val="000000"/>
          <w:sz w:val="28"/>
          <w:szCs w:val="28"/>
        </w:rPr>
        <w:t xml:space="preserve"> 202</w:t>
      </w:r>
      <w:r w:rsidR="00A52DD9">
        <w:rPr>
          <w:bCs/>
          <w:color w:val="000000"/>
          <w:sz w:val="28"/>
          <w:szCs w:val="28"/>
        </w:rPr>
        <w:t>6</w:t>
      </w:r>
      <w:r w:rsidR="00A52DD9" w:rsidRPr="00927006">
        <w:rPr>
          <w:bCs/>
          <w:color w:val="000000"/>
          <w:sz w:val="28"/>
          <w:szCs w:val="28"/>
        </w:rPr>
        <w:t xml:space="preserve"> года</w:t>
      </w:r>
    </w:p>
    <w:p w:rsidR="00A52DD9" w:rsidRPr="00F531CD" w:rsidRDefault="00A52DD9" w:rsidP="00A52DD9">
      <w:pPr>
        <w:tabs>
          <w:tab w:val="left" w:pos="6389"/>
        </w:tabs>
        <w:rPr>
          <w:b/>
          <w:sz w:val="28"/>
          <w:szCs w:val="28"/>
          <w:lang w:val="en-US"/>
        </w:rPr>
      </w:pPr>
      <w:r w:rsidRPr="00927006">
        <w:rPr>
          <w:bCs/>
          <w:color w:val="000000"/>
          <w:sz w:val="28"/>
          <w:szCs w:val="28"/>
        </w:rPr>
        <w:t xml:space="preserve">№ </w:t>
      </w:r>
      <w:r w:rsidR="00EC11D7">
        <w:rPr>
          <w:bCs/>
          <w:color w:val="000000"/>
          <w:sz w:val="28"/>
          <w:szCs w:val="28"/>
        </w:rPr>
        <w:t>297</w:t>
      </w:r>
    </w:p>
    <w:p w:rsidR="00C77006" w:rsidRPr="00A52DD9" w:rsidRDefault="00C77006" w:rsidP="00A52DD9">
      <w:pPr>
        <w:widowControl w:val="0"/>
        <w:rPr>
          <w:sz w:val="28"/>
          <w:szCs w:val="28"/>
        </w:rPr>
      </w:pPr>
    </w:p>
    <w:sectPr w:rsidR="00C77006" w:rsidRPr="00A52DD9" w:rsidSect="00773ABB">
      <w:head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5C88" w:rsidRDefault="000B5C88" w:rsidP="00773ABB">
      <w:r>
        <w:separator/>
      </w:r>
    </w:p>
  </w:endnote>
  <w:endnote w:type="continuationSeparator" w:id="0">
    <w:p w:rsidR="000B5C88" w:rsidRDefault="000B5C88" w:rsidP="00773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5C88" w:rsidRDefault="000B5C88" w:rsidP="00773ABB">
      <w:r>
        <w:separator/>
      </w:r>
    </w:p>
  </w:footnote>
  <w:footnote w:type="continuationSeparator" w:id="0">
    <w:p w:rsidR="000B5C88" w:rsidRDefault="000B5C88" w:rsidP="00773A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7578861"/>
      <w:docPartObj>
        <w:docPartGallery w:val="Page Numbers (Top of Page)"/>
        <w:docPartUnique/>
      </w:docPartObj>
    </w:sdtPr>
    <w:sdtEndPr/>
    <w:sdtContent>
      <w:p w:rsidR="00773ABB" w:rsidRDefault="00773ABB">
        <w:pPr>
          <w:pStyle w:val="ac"/>
          <w:jc w:val="center"/>
        </w:pPr>
        <w:r>
          <w:fldChar w:fldCharType="begin"/>
        </w:r>
        <w:r>
          <w:instrText>PAGE   \* MERGEFORMAT</w:instrText>
        </w:r>
        <w:r>
          <w:fldChar w:fldCharType="separate"/>
        </w:r>
        <w:r w:rsidR="00491337">
          <w:rPr>
            <w:noProof/>
          </w:rPr>
          <w:t>5</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AE222C"/>
    <w:multiLevelType w:val="hybridMultilevel"/>
    <w:tmpl w:val="87E00710"/>
    <w:lvl w:ilvl="0" w:tplc="ABAC9AF0">
      <w:start w:val="1"/>
      <w:numFmt w:val="decimal"/>
      <w:suff w:val="space"/>
      <w:lvlText w:val="%1)"/>
      <w:lvlJc w:val="left"/>
      <w:pPr>
        <w:ind w:left="1098" w:hanging="3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77E02EF0"/>
    <w:multiLevelType w:val="hybridMultilevel"/>
    <w:tmpl w:val="96AA82CC"/>
    <w:lvl w:ilvl="0" w:tplc="63646EE8">
      <w:start w:val="1"/>
      <w:numFmt w:val="decimal"/>
      <w:suff w:val="space"/>
      <w:lvlText w:val="%1)"/>
      <w:lvlJc w:val="left"/>
      <w:pPr>
        <w:ind w:left="1069" w:hanging="360"/>
      </w:pPr>
      <w:rPr>
        <w:rFonts w:eastAsia="Calibri" w:cstheme="minorBidi"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006"/>
    <w:rsid w:val="000075D3"/>
    <w:rsid w:val="0002549F"/>
    <w:rsid w:val="00034770"/>
    <w:rsid w:val="00046330"/>
    <w:rsid w:val="00082342"/>
    <w:rsid w:val="00092C86"/>
    <w:rsid w:val="00094E14"/>
    <w:rsid w:val="000B5C88"/>
    <w:rsid w:val="000E7DCE"/>
    <w:rsid w:val="00114565"/>
    <w:rsid w:val="00147D5E"/>
    <w:rsid w:val="00156205"/>
    <w:rsid w:val="001648D2"/>
    <w:rsid w:val="00174C48"/>
    <w:rsid w:val="0018151D"/>
    <w:rsid w:val="001A5907"/>
    <w:rsid w:val="001C15ED"/>
    <w:rsid w:val="001C209D"/>
    <w:rsid w:val="001C2BC9"/>
    <w:rsid w:val="00201374"/>
    <w:rsid w:val="002049D3"/>
    <w:rsid w:val="00233B7A"/>
    <w:rsid w:val="00260E2B"/>
    <w:rsid w:val="00284D4A"/>
    <w:rsid w:val="00285E50"/>
    <w:rsid w:val="002A4832"/>
    <w:rsid w:val="002A5FB3"/>
    <w:rsid w:val="002B0BE7"/>
    <w:rsid w:val="002C7615"/>
    <w:rsid w:val="002D2434"/>
    <w:rsid w:val="002E4D80"/>
    <w:rsid w:val="00305CBC"/>
    <w:rsid w:val="00321016"/>
    <w:rsid w:val="0034731E"/>
    <w:rsid w:val="00393218"/>
    <w:rsid w:val="00393AC2"/>
    <w:rsid w:val="003A0EB7"/>
    <w:rsid w:val="003A7421"/>
    <w:rsid w:val="003C1CD6"/>
    <w:rsid w:val="003F3085"/>
    <w:rsid w:val="00431212"/>
    <w:rsid w:val="00432CC0"/>
    <w:rsid w:val="004539CE"/>
    <w:rsid w:val="004812D4"/>
    <w:rsid w:val="004816EF"/>
    <w:rsid w:val="004877AB"/>
    <w:rsid w:val="00490D03"/>
    <w:rsid w:val="00491337"/>
    <w:rsid w:val="004A22C1"/>
    <w:rsid w:val="004A2E4F"/>
    <w:rsid w:val="004B5339"/>
    <w:rsid w:val="004D0552"/>
    <w:rsid w:val="004E3B16"/>
    <w:rsid w:val="00515154"/>
    <w:rsid w:val="0052002C"/>
    <w:rsid w:val="00527880"/>
    <w:rsid w:val="005D5C54"/>
    <w:rsid w:val="006177EC"/>
    <w:rsid w:val="00653BCA"/>
    <w:rsid w:val="00655711"/>
    <w:rsid w:val="0065650B"/>
    <w:rsid w:val="006824CE"/>
    <w:rsid w:val="006A1C37"/>
    <w:rsid w:val="006C11D9"/>
    <w:rsid w:val="006C2572"/>
    <w:rsid w:val="006D2687"/>
    <w:rsid w:val="006F7721"/>
    <w:rsid w:val="007229F0"/>
    <w:rsid w:val="00773ABB"/>
    <w:rsid w:val="00784EBE"/>
    <w:rsid w:val="007968CD"/>
    <w:rsid w:val="007A261E"/>
    <w:rsid w:val="007D7655"/>
    <w:rsid w:val="007F7162"/>
    <w:rsid w:val="007F7C61"/>
    <w:rsid w:val="00804414"/>
    <w:rsid w:val="00817F1B"/>
    <w:rsid w:val="00821091"/>
    <w:rsid w:val="00825A9E"/>
    <w:rsid w:val="00835940"/>
    <w:rsid w:val="0084281C"/>
    <w:rsid w:val="008655D0"/>
    <w:rsid w:val="00867264"/>
    <w:rsid w:val="00867B4F"/>
    <w:rsid w:val="008A4FF0"/>
    <w:rsid w:val="008E6E29"/>
    <w:rsid w:val="008F3C6B"/>
    <w:rsid w:val="008F553C"/>
    <w:rsid w:val="00910623"/>
    <w:rsid w:val="00931C38"/>
    <w:rsid w:val="0094235D"/>
    <w:rsid w:val="00956F88"/>
    <w:rsid w:val="00961866"/>
    <w:rsid w:val="0096793C"/>
    <w:rsid w:val="00973BFC"/>
    <w:rsid w:val="009B62F3"/>
    <w:rsid w:val="009B7BE7"/>
    <w:rsid w:val="00A02C1E"/>
    <w:rsid w:val="00A22168"/>
    <w:rsid w:val="00A23151"/>
    <w:rsid w:val="00A415D7"/>
    <w:rsid w:val="00A52DD9"/>
    <w:rsid w:val="00A52F3D"/>
    <w:rsid w:val="00AA7EEA"/>
    <w:rsid w:val="00AB5FC8"/>
    <w:rsid w:val="00AC1CF9"/>
    <w:rsid w:val="00AE3A41"/>
    <w:rsid w:val="00AE7CCC"/>
    <w:rsid w:val="00B01C8A"/>
    <w:rsid w:val="00B17226"/>
    <w:rsid w:val="00B317AC"/>
    <w:rsid w:val="00B41F8A"/>
    <w:rsid w:val="00B629AA"/>
    <w:rsid w:val="00BF4C14"/>
    <w:rsid w:val="00C02FB5"/>
    <w:rsid w:val="00C55E13"/>
    <w:rsid w:val="00C577B2"/>
    <w:rsid w:val="00C70942"/>
    <w:rsid w:val="00C77006"/>
    <w:rsid w:val="00C81AFA"/>
    <w:rsid w:val="00CB1B0B"/>
    <w:rsid w:val="00CC14AE"/>
    <w:rsid w:val="00CF3DA9"/>
    <w:rsid w:val="00D05E74"/>
    <w:rsid w:val="00D17EA2"/>
    <w:rsid w:val="00D24F8C"/>
    <w:rsid w:val="00D82BFA"/>
    <w:rsid w:val="00DA6619"/>
    <w:rsid w:val="00DB00EC"/>
    <w:rsid w:val="00DB19DE"/>
    <w:rsid w:val="00DC4BAD"/>
    <w:rsid w:val="00DE4E92"/>
    <w:rsid w:val="00DF7DAF"/>
    <w:rsid w:val="00E34BD6"/>
    <w:rsid w:val="00E55768"/>
    <w:rsid w:val="00E74BFE"/>
    <w:rsid w:val="00E813D4"/>
    <w:rsid w:val="00E847DB"/>
    <w:rsid w:val="00EC11D7"/>
    <w:rsid w:val="00EE3610"/>
    <w:rsid w:val="00F07F9F"/>
    <w:rsid w:val="00F274B4"/>
    <w:rsid w:val="00F353E6"/>
    <w:rsid w:val="00F4171E"/>
    <w:rsid w:val="00F55461"/>
    <w:rsid w:val="00F92F83"/>
    <w:rsid w:val="00FC583B"/>
    <w:rsid w:val="00FE32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24204"/>
  <w15:chartTrackingRefBased/>
  <w15:docId w15:val="{8C9761F1-51D7-468E-90DA-08128F293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7C6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F7C61"/>
    <w:pPr>
      <w:jc w:val="center"/>
    </w:pPr>
    <w:rPr>
      <w:rFonts w:eastAsia="Calibri"/>
    </w:rPr>
  </w:style>
  <w:style w:type="character" w:customStyle="1" w:styleId="a4">
    <w:name w:val="Основной текст Знак"/>
    <w:basedOn w:val="a0"/>
    <w:link w:val="a3"/>
    <w:rsid w:val="007F7C61"/>
    <w:rPr>
      <w:rFonts w:ascii="Times New Roman" w:eastAsia="Calibri" w:hAnsi="Times New Roman" w:cs="Times New Roman"/>
      <w:sz w:val="24"/>
      <w:szCs w:val="24"/>
      <w:lang w:eastAsia="ru-RU"/>
    </w:rPr>
  </w:style>
  <w:style w:type="paragraph" w:styleId="a5">
    <w:name w:val="Plain Text"/>
    <w:aliases w:val=" Знак,Текст Знак1 Знак,Текст Знак Знак Знак, Знак Знак Знак Знак,Знак,Знак Знак Знак Знак,Текст Знак1 Знак Знак Знак Знак,Текст Знак Знак Знак1 Знак Знак Знак, Знак Знак Знак Знак1 Знак Знак Знак,Знак Знак Знак Знак1 Знак Знак Знак,Текст Знак1,Зна"/>
    <w:basedOn w:val="a"/>
    <w:link w:val="a6"/>
    <w:rsid w:val="007F7C61"/>
    <w:rPr>
      <w:rFonts w:ascii="Courier New" w:hAnsi="Courier New" w:cs="Courier New"/>
      <w:sz w:val="20"/>
      <w:szCs w:val="20"/>
    </w:rPr>
  </w:style>
  <w:style w:type="character" w:customStyle="1" w:styleId="a6">
    <w:name w:val="Текст Знак"/>
    <w:aliases w:val=" Знак Знак,Текст Знак1 Знак Знак,Текст Знак Знак Знак Знак, Знак Знак Знак Знак Знак,Знак Знак,Знак Знак Знак Знак Знак,Текст Знак1 Знак Знак Знак Знак Знак,Текст Знак Знак Знак1 Знак Знак Знак Знак, Знак Знак Знак Знак1 Знак Знак Знак Знак"/>
    <w:basedOn w:val="a0"/>
    <w:link w:val="a5"/>
    <w:rsid w:val="007F7C61"/>
    <w:rPr>
      <w:rFonts w:ascii="Courier New" w:eastAsia="Times New Roman" w:hAnsi="Courier New" w:cs="Courier New"/>
      <w:sz w:val="20"/>
      <w:szCs w:val="20"/>
      <w:lang w:eastAsia="ru-RU"/>
    </w:rPr>
  </w:style>
  <w:style w:type="paragraph" w:styleId="a7">
    <w:name w:val="No Spacing"/>
    <w:link w:val="a8"/>
    <w:uiPriority w:val="1"/>
    <w:qFormat/>
    <w:rsid w:val="006A1C37"/>
    <w:pPr>
      <w:spacing w:after="0" w:line="240" w:lineRule="auto"/>
    </w:pPr>
  </w:style>
  <w:style w:type="character" w:customStyle="1" w:styleId="a8">
    <w:name w:val="Без интервала Знак"/>
    <w:link w:val="a7"/>
    <w:uiPriority w:val="1"/>
    <w:locked/>
    <w:rsid w:val="006A1C37"/>
  </w:style>
  <w:style w:type="paragraph" w:styleId="a9">
    <w:name w:val="List Paragraph"/>
    <w:basedOn w:val="a"/>
    <w:uiPriority w:val="34"/>
    <w:qFormat/>
    <w:rsid w:val="00931C38"/>
    <w:pPr>
      <w:ind w:left="720"/>
      <w:contextualSpacing/>
    </w:pPr>
  </w:style>
  <w:style w:type="paragraph" w:styleId="aa">
    <w:name w:val="Balloon Text"/>
    <w:basedOn w:val="a"/>
    <w:link w:val="ab"/>
    <w:uiPriority w:val="99"/>
    <w:semiHidden/>
    <w:unhideWhenUsed/>
    <w:rsid w:val="00784EBE"/>
    <w:rPr>
      <w:rFonts w:ascii="Segoe UI" w:hAnsi="Segoe UI" w:cs="Segoe UI"/>
      <w:sz w:val="18"/>
      <w:szCs w:val="18"/>
    </w:rPr>
  </w:style>
  <w:style w:type="character" w:customStyle="1" w:styleId="ab">
    <w:name w:val="Текст выноски Знак"/>
    <w:basedOn w:val="a0"/>
    <w:link w:val="aa"/>
    <w:uiPriority w:val="99"/>
    <w:semiHidden/>
    <w:rsid w:val="00784EBE"/>
    <w:rPr>
      <w:rFonts w:ascii="Segoe UI" w:eastAsia="Times New Roman" w:hAnsi="Segoe UI" w:cs="Segoe UI"/>
      <w:sz w:val="18"/>
      <w:szCs w:val="18"/>
      <w:lang w:eastAsia="ru-RU"/>
    </w:rPr>
  </w:style>
  <w:style w:type="paragraph" w:styleId="ac">
    <w:name w:val="header"/>
    <w:basedOn w:val="a"/>
    <w:link w:val="ad"/>
    <w:uiPriority w:val="99"/>
    <w:unhideWhenUsed/>
    <w:rsid w:val="00773ABB"/>
    <w:pPr>
      <w:tabs>
        <w:tab w:val="center" w:pos="4677"/>
        <w:tab w:val="right" w:pos="9355"/>
      </w:tabs>
    </w:pPr>
  </w:style>
  <w:style w:type="character" w:customStyle="1" w:styleId="ad">
    <w:name w:val="Верхний колонтитул Знак"/>
    <w:basedOn w:val="a0"/>
    <w:link w:val="ac"/>
    <w:uiPriority w:val="99"/>
    <w:rsid w:val="00773ABB"/>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773ABB"/>
    <w:pPr>
      <w:tabs>
        <w:tab w:val="center" w:pos="4677"/>
        <w:tab w:val="right" w:pos="9355"/>
      </w:tabs>
    </w:pPr>
  </w:style>
  <w:style w:type="character" w:customStyle="1" w:styleId="af">
    <w:name w:val="Нижний колонтитул Знак"/>
    <w:basedOn w:val="a0"/>
    <w:link w:val="ae"/>
    <w:uiPriority w:val="99"/>
    <w:rsid w:val="00773AB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8893B-8770-4C26-BF35-B06C79276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1399</TotalTime>
  <Pages>6</Pages>
  <Words>2009</Words>
  <Characters>11453</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Панаит Олеся Ивановна</dc:creator>
  <cp:keywords/>
  <dc:description/>
  <cp:lastModifiedBy>Дротенко Оксана Александровна</cp:lastModifiedBy>
  <cp:revision>64</cp:revision>
  <cp:lastPrinted>2026-04-01T07:03:00Z</cp:lastPrinted>
  <dcterms:created xsi:type="dcterms:W3CDTF">2020-06-26T08:22:00Z</dcterms:created>
  <dcterms:modified xsi:type="dcterms:W3CDTF">2026-05-19T13:29:00Z</dcterms:modified>
</cp:coreProperties>
</file>